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335A8"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TCP通信协议</w:t>
      </w:r>
    </w:p>
    <w:p w14:paraId="7AFEC576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3.1报文格式</w:t>
      </w:r>
      <w:bookmarkStart w:id="18" w:name="_GoBack"/>
      <w:bookmarkEnd w:id="18"/>
    </w:p>
    <w:p w14:paraId="30505D46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TCP报文使用大端字节序、大端比特序，报文（加帧头）总长度最大32768字节</w:t>
      </w:r>
    </w:p>
    <w:p w14:paraId="5A7FAD54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 w14:paraId="27FFDFA7">
      <w:pPr>
        <w:widowControl w:val="0"/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表1、VDES终端TCP报文帧结构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4410"/>
        <w:gridCol w:w="2401"/>
      </w:tblGrid>
      <w:tr w14:paraId="382B0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711" w:type="dxa"/>
          </w:tcPr>
          <w:p w14:paraId="38C9A91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字段</w:t>
            </w:r>
          </w:p>
        </w:tc>
        <w:tc>
          <w:tcPr>
            <w:tcW w:w="4410" w:type="dxa"/>
          </w:tcPr>
          <w:p w14:paraId="0C09C62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数据内容</w:t>
            </w:r>
          </w:p>
        </w:tc>
        <w:tc>
          <w:tcPr>
            <w:tcW w:w="2401" w:type="dxa"/>
          </w:tcPr>
          <w:p w14:paraId="03112F5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字节数</w:t>
            </w:r>
          </w:p>
        </w:tc>
      </w:tr>
      <w:tr w14:paraId="52C61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5F7A3EE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报文帧头</w:t>
            </w:r>
          </w:p>
        </w:tc>
        <w:tc>
          <w:tcPr>
            <w:tcW w:w="4410" w:type="dxa"/>
          </w:tcPr>
          <w:p w14:paraId="360D4D2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####</w:t>
            </w:r>
          </w:p>
        </w:tc>
        <w:tc>
          <w:tcPr>
            <w:tcW w:w="2401" w:type="dxa"/>
          </w:tcPr>
          <w:p w14:paraId="6E44220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 w14:paraId="4C79D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21BFAA6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410" w:type="dxa"/>
          </w:tcPr>
          <w:p w14:paraId="3ED8F8F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定义了TCP报文的类型</w:t>
            </w:r>
          </w:p>
        </w:tc>
        <w:tc>
          <w:tcPr>
            <w:tcW w:w="2401" w:type="dxa"/>
          </w:tcPr>
          <w:p w14:paraId="298B218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 w14:paraId="78214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4AB7FED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报文长度</w:t>
            </w:r>
          </w:p>
        </w:tc>
        <w:tc>
          <w:tcPr>
            <w:tcW w:w="4410" w:type="dxa"/>
          </w:tcPr>
          <w:p w14:paraId="05B1BB0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定义了TCP报文内容字段的长度</w:t>
            </w:r>
          </w:p>
        </w:tc>
        <w:tc>
          <w:tcPr>
            <w:tcW w:w="2401" w:type="dxa"/>
          </w:tcPr>
          <w:p w14:paraId="31496A0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 w14:paraId="42EA6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66919B7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报文内容</w:t>
            </w:r>
          </w:p>
        </w:tc>
        <w:tc>
          <w:tcPr>
            <w:tcW w:w="4410" w:type="dxa"/>
          </w:tcPr>
          <w:p w14:paraId="43652C5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有效数据内容</w:t>
            </w:r>
          </w:p>
        </w:tc>
        <w:tc>
          <w:tcPr>
            <w:tcW w:w="2401" w:type="dxa"/>
          </w:tcPr>
          <w:p w14:paraId="1E095D2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由帧长度定义，最大长度32756字节</w:t>
            </w:r>
          </w:p>
        </w:tc>
      </w:tr>
    </w:tbl>
    <w:p w14:paraId="7E8EB5F0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0906ABB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4189A2FA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3.2报文类型定义</w:t>
      </w:r>
    </w:p>
    <w:p w14:paraId="299A1F71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TCP报文类型分为：VDES地检专用TCP报文、VDES通用TCP报文。</w:t>
      </w:r>
    </w:p>
    <w:p w14:paraId="21B9F479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VDES地检专用TCP报文仅在设备与地检上位机通信时使用。通用报文类型在设备与地检和用户终端时通信时均可使用</w:t>
      </w:r>
    </w:p>
    <w:p w14:paraId="6DDA09AC">
      <w:pPr>
        <w:rPr>
          <w:rFonts w:hint="default"/>
          <w:lang w:val="en-US" w:eastAsia="zh-CN"/>
        </w:rPr>
      </w:pPr>
    </w:p>
    <w:p w14:paraId="2BA4DED9"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表2、VDES地检专用TCP报文类型定义</w:t>
      </w:r>
    </w:p>
    <w:tbl>
      <w:tblPr>
        <w:tblStyle w:val="5"/>
        <w:tblW w:w="9177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4078"/>
        <w:gridCol w:w="3954"/>
      </w:tblGrid>
      <w:tr w14:paraId="22DB1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145" w:type="dxa"/>
          </w:tcPr>
          <w:p w14:paraId="78FD347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078" w:type="dxa"/>
          </w:tcPr>
          <w:p w14:paraId="054EDB2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报文类型名称</w:t>
            </w:r>
          </w:p>
        </w:tc>
        <w:tc>
          <w:tcPr>
            <w:tcW w:w="3954" w:type="dxa"/>
          </w:tcPr>
          <w:p w14:paraId="3C3A5DC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备注/报文传输方向</w:t>
            </w:r>
          </w:p>
        </w:tc>
      </w:tr>
      <w:tr w14:paraId="6D668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 w14:paraId="5053E93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4078" w:type="dxa"/>
          </w:tcPr>
          <w:p w14:paraId="2B50A26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调试指令报文</w:t>
            </w:r>
          </w:p>
        </w:tc>
        <w:tc>
          <w:tcPr>
            <w:tcW w:w="3954" w:type="dxa"/>
          </w:tcPr>
          <w:p w14:paraId="5E1AF6D9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调试使用的指令。上位机-&gt;地检</w:t>
            </w:r>
          </w:p>
        </w:tc>
      </w:tr>
      <w:tr w14:paraId="733FB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 w14:paraId="7394C49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078" w:type="dxa"/>
          </w:tcPr>
          <w:p w14:paraId="068491C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LVDS数据报文</w:t>
            </w:r>
          </w:p>
        </w:tc>
        <w:tc>
          <w:tcPr>
            <w:tcW w:w="3954" w:type="dxa"/>
          </w:tcPr>
          <w:p w14:paraId="6931272F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LVDS收发数据。双向</w:t>
            </w:r>
          </w:p>
        </w:tc>
      </w:tr>
      <w:tr w14:paraId="097FD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 w14:paraId="1BE7BC9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0" w:name="OLE_LINK1" w:colFirst="0" w:colLast="1"/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4078" w:type="dxa"/>
          </w:tcPr>
          <w:p w14:paraId="065A16A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CAN数据报文</w:t>
            </w:r>
          </w:p>
        </w:tc>
        <w:tc>
          <w:tcPr>
            <w:tcW w:w="3954" w:type="dxa"/>
          </w:tcPr>
          <w:p w14:paraId="10F42BAD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CAN收发数据。双向</w:t>
            </w:r>
          </w:p>
        </w:tc>
      </w:tr>
      <w:bookmarkEnd w:id="0"/>
      <w:tr w14:paraId="4F4F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 w14:paraId="06D625C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4078" w:type="dxa"/>
          </w:tcPr>
          <w:p w14:paraId="701E742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AD9361参数控制报文</w:t>
            </w:r>
          </w:p>
        </w:tc>
        <w:tc>
          <w:tcPr>
            <w:tcW w:w="3954" w:type="dxa"/>
          </w:tcPr>
          <w:p w14:paraId="1773CA4A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AD9361参数控制指令。上位机-&gt;地检</w:t>
            </w:r>
          </w:p>
        </w:tc>
      </w:tr>
      <w:tr w14:paraId="08065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 w14:paraId="7065B87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4078" w:type="dxa"/>
          </w:tcPr>
          <w:p w14:paraId="61FA52C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波形发射IP核控制报文</w:t>
            </w:r>
          </w:p>
        </w:tc>
        <w:tc>
          <w:tcPr>
            <w:tcW w:w="3954" w:type="dxa"/>
          </w:tcPr>
          <w:p w14:paraId="7A7137A6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波形发射IP核控制。上位机-&gt;地检</w:t>
            </w:r>
          </w:p>
        </w:tc>
      </w:tr>
      <w:tr w14:paraId="33160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 w14:paraId="77C0DBE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4078" w:type="dxa"/>
          </w:tcPr>
          <w:p w14:paraId="0C7D0C2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发送测试参数控制报文</w:t>
            </w:r>
          </w:p>
        </w:tc>
        <w:tc>
          <w:tcPr>
            <w:tcW w:w="3954" w:type="dxa"/>
          </w:tcPr>
          <w:p w14:paraId="4EFDBA67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发送测试参数控制。上位机-&gt;地检</w:t>
            </w:r>
          </w:p>
        </w:tc>
      </w:tr>
      <w:tr w14:paraId="7164F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 w14:paraId="45ED4AD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4078" w:type="dxa"/>
          </w:tcPr>
          <w:p w14:paraId="4548138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发送测试波形上注报文</w:t>
            </w:r>
          </w:p>
        </w:tc>
        <w:tc>
          <w:tcPr>
            <w:tcW w:w="3954" w:type="dxa"/>
          </w:tcPr>
          <w:p w14:paraId="5F9D3B5F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发送测试波形上注。上位机-&gt;地检</w:t>
            </w:r>
          </w:p>
        </w:tc>
      </w:tr>
    </w:tbl>
    <w:p w14:paraId="4D51C67F"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</w:p>
    <w:p w14:paraId="7860D56D"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表3、VDES通用TCP报文类型定义</w:t>
      </w:r>
    </w:p>
    <w:tbl>
      <w:tblPr>
        <w:tblStyle w:val="5"/>
        <w:tblW w:w="9177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4078"/>
        <w:gridCol w:w="3954"/>
      </w:tblGrid>
      <w:tr w14:paraId="5952C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45" w:type="dxa"/>
          </w:tcPr>
          <w:p w14:paraId="5206EC6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078" w:type="dxa"/>
          </w:tcPr>
          <w:p w14:paraId="3CA2069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Consolas" w:hAnsi="Consolas" w:eastAsia="Consolas"/>
                <w:i/>
                <w:color w:val="0000C0"/>
                <w:sz w:val="20"/>
                <w:szCs w:val="24"/>
                <w:highlight w:val="whit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报文类型名称</w:t>
            </w:r>
          </w:p>
        </w:tc>
        <w:tc>
          <w:tcPr>
            <w:tcW w:w="3954" w:type="dxa"/>
          </w:tcPr>
          <w:p w14:paraId="5E8D14A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备注/报文传输方向</w:t>
            </w:r>
          </w:p>
        </w:tc>
      </w:tr>
      <w:tr w14:paraId="5623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 w14:paraId="14D68B4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4078" w:type="dxa"/>
          </w:tcPr>
          <w:p w14:paraId="5DACB68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GPS解析数据报文</w:t>
            </w:r>
          </w:p>
        </w:tc>
        <w:tc>
          <w:tcPr>
            <w:tcW w:w="3954" w:type="dxa"/>
          </w:tcPr>
          <w:p w14:paraId="57E3FA93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解析GPS模块uart报文得到的遥测参数，地检每秒发送一次。地检-&gt;上位机</w:t>
            </w:r>
          </w:p>
        </w:tc>
      </w:tr>
      <w:tr w14:paraId="35C62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 w14:paraId="0DC14ED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4078" w:type="dxa"/>
          </w:tcPr>
          <w:p w14:paraId="146C4C5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地检状态监控报文</w:t>
            </w:r>
          </w:p>
        </w:tc>
        <w:tc>
          <w:tcPr>
            <w:tcW w:w="3954" w:type="dxa"/>
          </w:tcPr>
          <w:p w14:paraId="57CD45D3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地检状态信息，地检每秒发送一次。地检/终端-&gt;上位机</w:t>
            </w:r>
          </w:p>
        </w:tc>
      </w:tr>
      <w:tr w14:paraId="6FEC6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 w14:paraId="35FE594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4078" w:type="dxa"/>
          </w:tcPr>
          <w:p w14:paraId="77BA065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VDES协议参数控制报文</w:t>
            </w:r>
          </w:p>
        </w:tc>
        <w:tc>
          <w:tcPr>
            <w:tcW w:w="3954" w:type="dxa"/>
          </w:tcPr>
          <w:p w14:paraId="427915A2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VDES协议参数控制指令。上位机-&gt;地检/终端</w:t>
            </w:r>
          </w:p>
        </w:tc>
      </w:tr>
      <w:tr w14:paraId="2557F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 w14:paraId="0F688C4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4078" w:type="dxa"/>
          </w:tcPr>
          <w:p w14:paraId="1D9C0CA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VDES上注数据报文</w:t>
            </w:r>
          </w:p>
        </w:tc>
        <w:tc>
          <w:tcPr>
            <w:tcW w:w="3954" w:type="dxa"/>
          </w:tcPr>
          <w:p w14:paraId="3C67D2B0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VDES上注数据指令，上位机-&gt;地检/终端</w:t>
            </w:r>
          </w:p>
        </w:tc>
      </w:tr>
      <w:tr w14:paraId="309E5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 w14:paraId="136609F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4078" w:type="dxa"/>
          </w:tcPr>
          <w:p w14:paraId="7A47952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宋体"/>
                <w:i/>
                <w:color w:val="0000C0"/>
                <w:sz w:val="20"/>
                <w:szCs w:val="24"/>
                <w:highlight w:val="whit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VDES采集数据报文</w:t>
            </w:r>
          </w:p>
        </w:tc>
        <w:tc>
          <w:tcPr>
            <w:tcW w:w="3954" w:type="dxa"/>
          </w:tcPr>
          <w:p w14:paraId="46B41D41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进入VDES解调器1的二进制波形数据，用于调试时观察卫星波形。地检/终端-&gt;上位机</w:t>
            </w:r>
          </w:p>
        </w:tc>
      </w:tr>
      <w:tr w14:paraId="50B72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 w14:paraId="6EF320D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4078" w:type="dxa"/>
          </w:tcPr>
          <w:p w14:paraId="4A21B69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VDES/AIS解调数据报文</w:t>
            </w:r>
          </w:p>
        </w:tc>
        <w:tc>
          <w:tcPr>
            <w:tcW w:w="3954" w:type="dxa"/>
          </w:tcPr>
          <w:p w14:paraId="0962470B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VDES/AIS解调器成功解调的报文数据内容。地检/终端-&gt;上位机</w:t>
            </w:r>
          </w:p>
        </w:tc>
      </w:tr>
      <w:tr w14:paraId="2E097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 w14:paraId="3C66464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4078" w:type="dxa"/>
          </w:tcPr>
          <w:p w14:paraId="6A50540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Consolas" w:hAnsi="Consolas" w:eastAsia="Consolas"/>
                <w:i/>
                <w:color w:val="0000C0"/>
                <w:sz w:val="20"/>
                <w:szCs w:val="24"/>
                <w:highlight w:val="whit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消息通知报文</w:t>
            </w:r>
          </w:p>
        </w:tc>
        <w:tc>
          <w:tcPr>
            <w:tcW w:w="3954" w:type="dxa"/>
          </w:tcPr>
          <w:p w14:paraId="2C564427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消息通知，用于通知用户关键消息。地检/终端-&gt;上位机</w:t>
            </w:r>
          </w:p>
        </w:tc>
      </w:tr>
    </w:tbl>
    <w:p w14:paraId="1D3D7070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1500101A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3.3报文内容定义</w:t>
      </w:r>
    </w:p>
    <w:p w14:paraId="6BFA1C01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表4、</w:t>
      </w:r>
      <w:r>
        <w:rPr>
          <w:rFonts w:hint="eastAsia"/>
          <w:vertAlign w:val="baseline"/>
          <w:lang w:val="en-US" w:eastAsia="zh-CN"/>
        </w:rPr>
        <w:t>调试指令报文内容定义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68"/>
        <w:gridCol w:w="1173"/>
        <w:gridCol w:w="3278"/>
      </w:tblGrid>
      <w:tr w14:paraId="1D5A6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1" w:type="dxa"/>
          </w:tcPr>
          <w:p w14:paraId="31B48E6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 w14:paraId="54709C9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68" w:type="dxa"/>
          </w:tcPr>
          <w:p w14:paraId="35CD22D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73" w:type="dxa"/>
          </w:tcPr>
          <w:p w14:paraId="62CA3B8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8" w:type="dxa"/>
          </w:tcPr>
          <w:p w14:paraId="27534D3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6B5E4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 w14:paraId="3AAFC07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 w14:paraId="6747A5D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指令类型</w:t>
            </w:r>
          </w:p>
        </w:tc>
        <w:tc>
          <w:tcPr>
            <w:tcW w:w="1268" w:type="dxa"/>
          </w:tcPr>
          <w:p w14:paraId="6FFC531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73" w:type="dxa"/>
          </w:tcPr>
          <w:p w14:paraId="4FD07C5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8" w:type="dxa"/>
          </w:tcPr>
          <w:p w14:paraId="54C21BF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0：初始化地检</w:t>
            </w:r>
          </w:p>
          <w:p w14:paraId="4D1A94B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1：测试波形上注完成</w:t>
            </w:r>
          </w:p>
          <w:p w14:paraId="14856CF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2：LVDS数据开始上注</w:t>
            </w:r>
          </w:p>
          <w:p w14:paraId="7878CE95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2：CAN初始化</w:t>
            </w:r>
          </w:p>
          <w:p w14:paraId="0204213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3：LVDS初始化</w:t>
            </w:r>
          </w:p>
          <w:p w14:paraId="1847A11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4：AD9361重新校准</w:t>
            </w:r>
          </w:p>
          <w:p w14:paraId="69A6AC9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5：GPS初始化</w:t>
            </w:r>
          </w:p>
        </w:tc>
      </w:tr>
    </w:tbl>
    <w:p w14:paraId="1409AC34">
      <w:pPr>
        <w:bidi w:val="0"/>
        <w:rPr>
          <w:rFonts w:hint="eastAsia"/>
          <w:lang w:val="en-US" w:eastAsia="zh-CN"/>
        </w:rPr>
      </w:pPr>
    </w:p>
    <w:p w14:paraId="386B3BC3"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表5、</w:t>
      </w:r>
      <w:r>
        <w:rPr>
          <w:rFonts w:hint="eastAsia"/>
          <w:vertAlign w:val="baseline"/>
          <w:lang w:val="en-US" w:eastAsia="zh-CN"/>
        </w:rPr>
        <w:t>LVDS数据报文内容定义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55"/>
        <w:gridCol w:w="1268"/>
        <w:gridCol w:w="1186"/>
        <w:gridCol w:w="3266"/>
      </w:tblGrid>
      <w:tr w14:paraId="21A78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14561DF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55" w:type="dxa"/>
          </w:tcPr>
          <w:p w14:paraId="5D3F331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68" w:type="dxa"/>
          </w:tcPr>
          <w:p w14:paraId="12FC711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86" w:type="dxa"/>
          </w:tcPr>
          <w:p w14:paraId="68DF027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6" w:type="dxa"/>
          </w:tcPr>
          <w:p w14:paraId="1CB4016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2FBCB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2BF4B5B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55" w:type="dxa"/>
          </w:tcPr>
          <w:p w14:paraId="19729A3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</w:t>
            </w:r>
          </w:p>
        </w:tc>
        <w:tc>
          <w:tcPr>
            <w:tcW w:w="1268" w:type="dxa"/>
          </w:tcPr>
          <w:p w14:paraId="05EF6F4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N(0~32756)</w:t>
            </w:r>
          </w:p>
        </w:tc>
        <w:tc>
          <w:tcPr>
            <w:tcW w:w="1186" w:type="dxa"/>
          </w:tcPr>
          <w:p w14:paraId="67E616E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6" w:type="dxa"/>
          </w:tcPr>
          <w:p w14:paraId="29B7FF3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LVDS数据，字节长度由报文长度字段定义</w:t>
            </w:r>
          </w:p>
        </w:tc>
      </w:tr>
    </w:tbl>
    <w:p w14:paraId="7F2AB83E">
      <w:pPr>
        <w:rPr>
          <w:rFonts w:hint="default"/>
          <w:vertAlign w:val="baseline"/>
          <w:lang w:val="en-US" w:eastAsia="zh-CN"/>
        </w:rPr>
      </w:pPr>
    </w:p>
    <w:p w14:paraId="704E0CB1">
      <w:pPr>
        <w:rPr>
          <w:rFonts w:hint="default"/>
          <w:vertAlign w:val="baseline"/>
          <w:lang w:val="en-US" w:eastAsia="zh-CN"/>
        </w:rPr>
      </w:pPr>
    </w:p>
    <w:p w14:paraId="6194D572">
      <w:pPr>
        <w:bidi w:val="0"/>
        <w:rPr>
          <w:rFonts w:hint="eastAsia"/>
          <w:lang w:val="en-US" w:eastAsia="zh-CN"/>
        </w:rPr>
      </w:pPr>
    </w:p>
    <w:p w14:paraId="0D66535B">
      <w:pPr>
        <w:bidi w:val="0"/>
        <w:rPr>
          <w:rFonts w:hint="eastAsia"/>
          <w:lang w:val="en-US" w:eastAsia="zh-CN"/>
        </w:rPr>
      </w:pPr>
    </w:p>
    <w:p w14:paraId="0A54F1EA"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表6、</w:t>
      </w:r>
      <w:r>
        <w:rPr>
          <w:rFonts w:hint="eastAsia"/>
          <w:vertAlign w:val="baseline"/>
          <w:lang w:val="en-US" w:eastAsia="zh-CN"/>
        </w:rPr>
        <w:t>CAN数据报文内容定义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7"/>
        <w:gridCol w:w="1310"/>
        <w:gridCol w:w="1159"/>
        <w:gridCol w:w="3279"/>
      </w:tblGrid>
      <w:tr w14:paraId="6AE5A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0DDB6A5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7" w:type="dxa"/>
          </w:tcPr>
          <w:p w14:paraId="631E20A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10" w:type="dxa"/>
          </w:tcPr>
          <w:p w14:paraId="690ED0E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 w14:paraId="2357A7C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9" w:type="dxa"/>
          </w:tcPr>
          <w:p w14:paraId="60F3B08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61245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20E693B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7" w:type="dxa"/>
          </w:tcPr>
          <w:p w14:paraId="5CC0584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CAN报文</w:t>
            </w:r>
          </w:p>
        </w:tc>
        <w:tc>
          <w:tcPr>
            <w:tcW w:w="1310" w:type="dxa"/>
          </w:tcPr>
          <w:p w14:paraId="33A5911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N(0~32756)</w:t>
            </w:r>
          </w:p>
        </w:tc>
        <w:tc>
          <w:tcPr>
            <w:tcW w:w="1159" w:type="dxa"/>
          </w:tcPr>
          <w:p w14:paraId="62D85C0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9" w:type="dxa"/>
          </w:tcPr>
          <w:p w14:paraId="2DCAB6F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CAN报文，字节长度由报文长度字段定义</w:t>
            </w:r>
          </w:p>
        </w:tc>
      </w:tr>
    </w:tbl>
    <w:p w14:paraId="603FC98E">
      <w:pPr>
        <w:bidi w:val="0"/>
        <w:rPr>
          <w:rFonts w:hint="eastAsia"/>
          <w:lang w:val="en-US" w:eastAsia="zh-CN"/>
        </w:rPr>
      </w:pPr>
    </w:p>
    <w:p w14:paraId="0DEE114C"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表7、</w:t>
      </w:r>
      <w:r>
        <w:rPr>
          <w:rFonts w:hint="eastAsia"/>
          <w:vertAlign w:val="baseline"/>
          <w:lang w:val="en-US" w:eastAsia="zh-CN"/>
        </w:rPr>
        <w:t>AD9361参数控制报文内容定义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41"/>
        <w:gridCol w:w="1296"/>
        <w:gridCol w:w="1159"/>
        <w:gridCol w:w="3278"/>
      </w:tblGrid>
      <w:tr w14:paraId="5D489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4389215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 w14:paraId="5540ADC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6" w:type="dxa"/>
          </w:tcPr>
          <w:p w14:paraId="5AC25A9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 w14:paraId="7994A1B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8" w:type="dxa"/>
          </w:tcPr>
          <w:p w14:paraId="031ED3A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4163F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1F8F11D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 w14:paraId="67A333C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Tx本振频率</w:t>
            </w:r>
          </w:p>
        </w:tc>
        <w:tc>
          <w:tcPr>
            <w:tcW w:w="1296" w:type="dxa"/>
          </w:tcPr>
          <w:p w14:paraId="009E95E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159" w:type="dxa"/>
          </w:tcPr>
          <w:p w14:paraId="24FD955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Uint64</w:t>
            </w:r>
          </w:p>
        </w:tc>
        <w:tc>
          <w:tcPr>
            <w:tcW w:w="3278" w:type="dxa"/>
          </w:tcPr>
          <w:p w14:paraId="71A83AC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发送测试波形时，AD9361的发射本振频率（70000000~6000000000</w:t>
            </w:r>
          </w:p>
          <w:p w14:paraId="5D7E046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）HZ</w:t>
            </w:r>
          </w:p>
        </w:tc>
      </w:tr>
      <w:tr w14:paraId="027E3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2B717A3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 w14:paraId="7B191B1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Tx采样率</w:t>
            </w:r>
          </w:p>
        </w:tc>
        <w:tc>
          <w:tcPr>
            <w:tcW w:w="1296" w:type="dxa"/>
          </w:tcPr>
          <w:p w14:paraId="30C0513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 w14:paraId="5E87963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78" w:type="dxa"/>
          </w:tcPr>
          <w:p w14:paraId="1AE2C1E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发送测试波形时，AD9361的发射采样频率</w:t>
            </w:r>
          </w:p>
          <w:p w14:paraId="7D2ACC0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（0~61440000）SPS</w:t>
            </w:r>
          </w:p>
        </w:tc>
      </w:tr>
      <w:tr w14:paraId="6013E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3A3057B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 w14:paraId="315B91A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Tx发射衰减</w:t>
            </w:r>
          </w:p>
        </w:tc>
        <w:tc>
          <w:tcPr>
            <w:tcW w:w="1296" w:type="dxa"/>
          </w:tcPr>
          <w:p w14:paraId="7CAA2B0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 w14:paraId="382712F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8" w:type="dxa"/>
          </w:tcPr>
          <w:p w14:paraId="61DDAE17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发送测试波形时，AD9361的发射衰减（1~80）dB</w:t>
            </w:r>
          </w:p>
        </w:tc>
      </w:tr>
    </w:tbl>
    <w:p w14:paraId="055A0774">
      <w:pPr>
        <w:bidi w:val="0"/>
        <w:rPr>
          <w:rFonts w:hint="eastAsia"/>
          <w:lang w:val="en-US" w:eastAsia="zh-CN"/>
        </w:rPr>
      </w:pPr>
    </w:p>
    <w:p w14:paraId="2CEB84D7"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表8、</w:t>
      </w:r>
      <w:r>
        <w:rPr>
          <w:rFonts w:hint="eastAsia"/>
          <w:vertAlign w:val="baseline"/>
          <w:lang w:val="en-US" w:eastAsia="zh-CN"/>
        </w:rPr>
        <w:t>波形发射IP核控制内容定义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95"/>
        <w:gridCol w:w="1159"/>
        <w:gridCol w:w="3265"/>
      </w:tblGrid>
      <w:tr w14:paraId="1AABD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1" w:type="dxa"/>
          </w:tcPr>
          <w:p w14:paraId="48B2A66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 w14:paraId="0C6E982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5" w:type="dxa"/>
          </w:tcPr>
          <w:p w14:paraId="37AE037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 w14:paraId="7ECF4AD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5" w:type="dxa"/>
          </w:tcPr>
          <w:p w14:paraId="1C3ED8A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285D9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 w14:paraId="147BC0C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 w14:paraId="3572CCD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信道选择</w:t>
            </w:r>
          </w:p>
        </w:tc>
        <w:tc>
          <w:tcPr>
            <w:tcW w:w="1295" w:type="dxa"/>
          </w:tcPr>
          <w:p w14:paraId="3844616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 w14:paraId="3D80E4F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 w14:paraId="77BAA32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选择要配置的发射信道</w:t>
            </w:r>
          </w:p>
          <w:p w14:paraId="3F4EB73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0：配置上注波形发射信道</w:t>
            </w:r>
          </w:p>
          <w:p w14:paraId="74B6455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1：配置VDES波形发射信道</w:t>
            </w:r>
          </w:p>
        </w:tc>
      </w:tr>
      <w:tr w14:paraId="4C4A6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 w14:paraId="1567CDE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 w14:paraId="7115DB9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CIC滤波器使能</w:t>
            </w:r>
          </w:p>
        </w:tc>
        <w:tc>
          <w:tcPr>
            <w:tcW w:w="1295" w:type="dxa"/>
          </w:tcPr>
          <w:p w14:paraId="1774EA9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 w14:paraId="64566E9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 w14:paraId="60B370C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均衡器+64倍上采样CIC滤波器开关，开启后可改善发射波形的带外杂散</w:t>
            </w:r>
          </w:p>
          <w:p w14:paraId="3BF425D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</w:tr>
      <w:tr w14:paraId="24C0A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 w14:paraId="729E31B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 w14:paraId="429D0BD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待发送波形采样率</w:t>
            </w:r>
          </w:p>
        </w:tc>
        <w:tc>
          <w:tcPr>
            <w:tcW w:w="1295" w:type="dxa"/>
          </w:tcPr>
          <w:p w14:paraId="002B08D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 w14:paraId="37E5FC7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 w14:paraId="6545D38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待发送波形的原始采样率，单位HZ</w:t>
            </w:r>
          </w:p>
        </w:tc>
      </w:tr>
      <w:tr w14:paraId="5F941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 w14:paraId="59ED56A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41" w:type="dxa"/>
          </w:tcPr>
          <w:p w14:paraId="0C7137E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发射波形类型</w:t>
            </w:r>
          </w:p>
        </w:tc>
        <w:tc>
          <w:tcPr>
            <w:tcW w:w="1295" w:type="dxa"/>
          </w:tcPr>
          <w:p w14:paraId="2C2D9CE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 w14:paraId="33A772C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 w14:paraId="10B51D3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0：发送正常波形 1：发送单载波</w:t>
            </w:r>
          </w:p>
        </w:tc>
      </w:tr>
      <w:tr w14:paraId="55A01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 w14:paraId="3C2158A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41" w:type="dxa"/>
          </w:tcPr>
          <w:p w14:paraId="242E6E4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频偏</w:t>
            </w:r>
          </w:p>
        </w:tc>
        <w:tc>
          <w:tcPr>
            <w:tcW w:w="1295" w:type="dxa"/>
          </w:tcPr>
          <w:p w14:paraId="1929500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 w14:paraId="55684F1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265" w:type="dxa"/>
          </w:tcPr>
          <w:p w14:paraId="461999E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对发送的波形添加固定频偏，用于频偏测试，单位HZ</w:t>
            </w:r>
          </w:p>
        </w:tc>
      </w:tr>
      <w:tr w14:paraId="42F73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 w14:paraId="7529FCE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41" w:type="dxa"/>
          </w:tcPr>
          <w:p w14:paraId="7F2D59D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扫频类型</w:t>
            </w:r>
          </w:p>
        </w:tc>
        <w:tc>
          <w:tcPr>
            <w:tcW w:w="1295" w:type="dxa"/>
          </w:tcPr>
          <w:p w14:paraId="7A27310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 w14:paraId="26F113EC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 w14:paraId="5428086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定义频偏测试过程中频偏随时间的变化方式，0：固定频偏 1：直线扫频 2：正弦扫频</w:t>
            </w:r>
          </w:p>
        </w:tc>
      </w:tr>
      <w:tr w14:paraId="4D4F3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 w14:paraId="0E5A688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141" w:type="dxa"/>
          </w:tcPr>
          <w:p w14:paraId="1888FC7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扫频带宽</w:t>
            </w:r>
          </w:p>
        </w:tc>
        <w:tc>
          <w:tcPr>
            <w:tcW w:w="1295" w:type="dxa"/>
          </w:tcPr>
          <w:p w14:paraId="49685EC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 w14:paraId="36E0A4A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 w14:paraId="13C9B0F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定义频偏测试过程中频偏变化范围（-扫频带宽/2 ~ 扫频带宽/2）HZ</w:t>
            </w:r>
          </w:p>
        </w:tc>
      </w:tr>
      <w:tr w14:paraId="64559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 w14:paraId="59065A1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41" w:type="dxa"/>
          </w:tcPr>
          <w:p w14:paraId="2E5A5E0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扫频速度</w:t>
            </w:r>
          </w:p>
        </w:tc>
        <w:tc>
          <w:tcPr>
            <w:tcW w:w="1295" w:type="dxa"/>
          </w:tcPr>
          <w:p w14:paraId="6BD8A3E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 w14:paraId="79C7EC4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 w14:paraId="660391E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定义频偏测试过程中频偏变化速度，单位HZ/S</w:t>
            </w:r>
          </w:p>
        </w:tc>
      </w:tr>
    </w:tbl>
    <w:p w14:paraId="78A3CAB5">
      <w:pPr>
        <w:bidi w:val="0"/>
        <w:rPr>
          <w:rFonts w:hint="eastAsia"/>
          <w:lang w:val="en-US" w:eastAsia="zh-CN"/>
        </w:rPr>
      </w:pPr>
    </w:p>
    <w:p w14:paraId="44675B6E"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表9、</w:t>
      </w:r>
      <w:r>
        <w:rPr>
          <w:rFonts w:hint="eastAsia"/>
          <w:vertAlign w:val="baseline"/>
          <w:lang w:val="en-US" w:eastAsia="zh-CN"/>
        </w:rPr>
        <w:t>发送测试参数控制内容定义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95"/>
        <w:gridCol w:w="1159"/>
        <w:gridCol w:w="3265"/>
      </w:tblGrid>
      <w:tr w14:paraId="1975A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 w14:paraId="4FBA89D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 w14:paraId="7AD933A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5" w:type="dxa"/>
          </w:tcPr>
          <w:p w14:paraId="3F17718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 w14:paraId="24768FC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5" w:type="dxa"/>
          </w:tcPr>
          <w:p w14:paraId="0FCC570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2A663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 w14:paraId="4AD559A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 w14:paraId="1C874D8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测试类型</w:t>
            </w:r>
          </w:p>
        </w:tc>
        <w:tc>
          <w:tcPr>
            <w:tcW w:w="1295" w:type="dxa"/>
          </w:tcPr>
          <w:p w14:paraId="5BDF3AC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 w14:paraId="0C2B3C0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 w14:paraId="618A4139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0：上注波形发送测试</w:t>
            </w:r>
          </w:p>
          <w:p w14:paraId="37EF878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1：VDES波形发送测试</w:t>
            </w:r>
          </w:p>
          <w:p w14:paraId="444BA27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2：结束当前所有测试</w:t>
            </w:r>
          </w:p>
        </w:tc>
      </w:tr>
      <w:tr w14:paraId="58A4B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 w14:paraId="170D159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 w14:paraId="0FEE967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测试次数</w:t>
            </w:r>
          </w:p>
        </w:tc>
        <w:tc>
          <w:tcPr>
            <w:tcW w:w="1295" w:type="dxa"/>
          </w:tcPr>
          <w:p w14:paraId="5D0B3BD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 w14:paraId="2AD832F4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 w14:paraId="41314D2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定义波形发送测试的次数</w:t>
            </w:r>
          </w:p>
        </w:tc>
      </w:tr>
      <w:tr w14:paraId="37A5E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 w14:paraId="43365B7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 w14:paraId="2692E22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波形发送间隔</w:t>
            </w:r>
          </w:p>
        </w:tc>
        <w:tc>
          <w:tcPr>
            <w:tcW w:w="1295" w:type="dxa"/>
          </w:tcPr>
          <w:p w14:paraId="139CDDE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 w14:paraId="2F20201C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 w14:paraId="527118E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定义开始发送前一次测试波形的时间，至开始发送下一次测试波形的时间间隔，单位ms（仅对上注的测试波形有效，对VDES发射波形无效）</w:t>
            </w:r>
          </w:p>
        </w:tc>
      </w:tr>
    </w:tbl>
    <w:p w14:paraId="1849D432">
      <w:pPr>
        <w:bidi w:val="0"/>
        <w:rPr>
          <w:rFonts w:hint="eastAsia"/>
          <w:lang w:val="en-US" w:eastAsia="zh-CN"/>
        </w:rPr>
      </w:pPr>
    </w:p>
    <w:p w14:paraId="03C696CE">
      <w:pPr>
        <w:bidi w:val="0"/>
        <w:rPr>
          <w:rFonts w:hint="eastAsia"/>
          <w:lang w:val="en-US" w:eastAsia="zh-CN"/>
        </w:rPr>
      </w:pPr>
    </w:p>
    <w:p w14:paraId="3181AE34"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表10、</w:t>
      </w:r>
      <w:r>
        <w:rPr>
          <w:rFonts w:hint="eastAsia"/>
          <w:vertAlign w:val="baseline"/>
          <w:lang w:val="en-US" w:eastAsia="zh-CN"/>
        </w:rPr>
        <w:t>发送测试波形上注报文内容定义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7"/>
        <w:gridCol w:w="1310"/>
        <w:gridCol w:w="1159"/>
        <w:gridCol w:w="3279"/>
      </w:tblGrid>
      <w:tr w14:paraId="10FB7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440E8B4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7" w:type="dxa"/>
          </w:tcPr>
          <w:p w14:paraId="6477C2A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10" w:type="dxa"/>
          </w:tcPr>
          <w:p w14:paraId="46C2370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 w14:paraId="23BA9C4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9" w:type="dxa"/>
          </w:tcPr>
          <w:p w14:paraId="4085284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005E4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32A6F15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7" w:type="dxa"/>
          </w:tcPr>
          <w:p w14:paraId="3F8C003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</w:t>
            </w:r>
          </w:p>
        </w:tc>
        <w:tc>
          <w:tcPr>
            <w:tcW w:w="1310" w:type="dxa"/>
          </w:tcPr>
          <w:p w14:paraId="7CC908C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N(0~1024)</w:t>
            </w:r>
          </w:p>
        </w:tc>
        <w:tc>
          <w:tcPr>
            <w:tcW w:w="1159" w:type="dxa"/>
          </w:tcPr>
          <w:p w14:paraId="2E9A47D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9" w:type="dxa"/>
          </w:tcPr>
          <w:p w14:paraId="62AD015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待发送的测试波形数据，字节长度由报文长度字段定义</w:t>
            </w:r>
          </w:p>
        </w:tc>
      </w:tr>
    </w:tbl>
    <w:p w14:paraId="0062481C">
      <w:pPr>
        <w:bidi w:val="0"/>
        <w:rPr>
          <w:rFonts w:hint="eastAsia"/>
          <w:lang w:val="en-US" w:eastAsia="zh-CN"/>
        </w:rPr>
      </w:pPr>
    </w:p>
    <w:p w14:paraId="3A782414">
      <w:pPr>
        <w:bidi w:val="0"/>
        <w:rPr>
          <w:rFonts w:hint="eastAsia"/>
          <w:lang w:val="en-US" w:eastAsia="zh-CN"/>
        </w:rPr>
      </w:pPr>
    </w:p>
    <w:p w14:paraId="34B37312"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表11、</w:t>
      </w:r>
      <w:r>
        <w:rPr>
          <w:rFonts w:hint="eastAsia"/>
          <w:vertAlign w:val="baseline"/>
          <w:lang w:val="en-US" w:eastAsia="zh-CN"/>
        </w:rPr>
        <w:t>GPS解析数据报文内容定义</w:t>
      </w:r>
    </w:p>
    <w:tbl>
      <w:tblPr>
        <w:tblStyle w:val="5"/>
        <w:tblW w:w="9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14"/>
        <w:gridCol w:w="1077"/>
        <w:gridCol w:w="1064"/>
        <w:gridCol w:w="3423"/>
        <w:gridCol w:w="1153"/>
      </w:tblGrid>
      <w:tr w14:paraId="1455F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 w14:paraId="7C85E41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14" w:type="dxa"/>
          </w:tcPr>
          <w:p w14:paraId="53DBC3B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77" w:type="dxa"/>
          </w:tcPr>
          <w:p w14:paraId="7A36D74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 w14:paraId="3539839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23" w:type="dxa"/>
          </w:tcPr>
          <w:p w14:paraId="20FD572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153" w:type="dxa"/>
          </w:tcPr>
          <w:p w14:paraId="23E01F1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 w14:paraId="06429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 w14:paraId="700FC3E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14" w:type="dxa"/>
          </w:tcPr>
          <w:p w14:paraId="25ED079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UTC时间</w:t>
            </w:r>
          </w:p>
        </w:tc>
        <w:tc>
          <w:tcPr>
            <w:tcW w:w="1077" w:type="dxa"/>
          </w:tcPr>
          <w:p w14:paraId="3A13FC0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64" w:type="dxa"/>
          </w:tcPr>
          <w:p w14:paraId="58A5A59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Uint64</w:t>
            </w:r>
          </w:p>
        </w:tc>
        <w:tc>
          <w:tcPr>
            <w:tcW w:w="3423" w:type="dxa"/>
          </w:tcPr>
          <w:p w14:paraId="4443126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</w:t>
            </w:r>
            <w:r>
              <w:rPr>
                <w:rFonts w:hint="default"/>
                <w:vertAlign w:val="baseline"/>
                <w:lang w:val="en-US" w:eastAsia="zh-CN"/>
              </w:rPr>
              <w:t>1980年1月6日0时0分0秒</w:t>
            </w:r>
            <w:r>
              <w:rPr>
                <w:rFonts w:hint="eastAsia"/>
                <w:vertAlign w:val="baseline"/>
                <w:lang w:val="en-US" w:eastAsia="zh-CN"/>
              </w:rPr>
              <w:t>开始以来的秒数</w:t>
            </w:r>
          </w:p>
        </w:tc>
        <w:tc>
          <w:tcPr>
            <w:tcW w:w="1153" w:type="dxa"/>
          </w:tcPr>
          <w:p w14:paraId="4D41EF1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用户界面，以年月日时间形式显示</w:t>
            </w:r>
          </w:p>
        </w:tc>
      </w:tr>
      <w:tr w14:paraId="78405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 w14:paraId="66A5946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14" w:type="dxa"/>
          </w:tcPr>
          <w:p w14:paraId="4AC4DEE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经度</w:t>
            </w:r>
          </w:p>
        </w:tc>
        <w:tc>
          <w:tcPr>
            <w:tcW w:w="1077" w:type="dxa"/>
          </w:tcPr>
          <w:p w14:paraId="32D3038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0791788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</w:tcPr>
          <w:p w14:paraId="1B1243E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输入值为度分格式*10000000，大于0表示东经，小于0表示西经</w:t>
            </w:r>
          </w:p>
        </w:tc>
        <w:tc>
          <w:tcPr>
            <w:tcW w:w="1153" w:type="dxa"/>
          </w:tcPr>
          <w:p w14:paraId="320CC5E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 w14:paraId="20AEF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 w14:paraId="4C62A76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14" w:type="dxa"/>
          </w:tcPr>
          <w:p w14:paraId="6530AEE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纬度</w:t>
            </w:r>
          </w:p>
        </w:tc>
        <w:tc>
          <w:tcPr>
            <w:tcW w:w="1077" w:type="dxa"/>
          </w:tcPr>
          <w:p w14:paraId="317EECB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06B51BC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</w:tcPr>
          <w:p w14:paraId="02BA0D4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输入值为度分格式*10000000，大于零表示北纬，小于0表示南纬</w:t>
            </w:r>
          </w:p>
        </w:tc>
        <w:tc>
          <w:tcPr>
            <w:tcW w:w="1153" w:type="dxa"/>
          </w:tcPr>
          <w:p w14:paraId="1819B3C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 w14:paraId="053D6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647" w:type="dxa"/>
          </w:tcPr>
          <w:p w14:paraId="5DB95C5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14" w:type="dxa"/>
          </w:tcPr>
          <w:p w14:paraId="2667852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海拔高度</w:t>
            </w:r>
          </w:p>
        </w:tc>
        <w:tc>
          <w:tcPr>
            <w:tcW w:w="1077" w:type="dxa"/>
          </w:tcPr>
          <w:p w14:paraId="2AE194C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587D7085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</w:tcPr>
          <w:p w14:paraId="4E9FD83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当前海拔高度，大于0表示在海平面以上，小于零表示在海平面以下，单位M</w:t>
            </w:r>
          </w:p>
        </w:tc>
        <w:tc>
          <w:tcPr>
            <w:tcW w:w="1153" w:type="dxa"/>
          </w:tcPr>
          <w:p w14:paraId="570E447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 w14:paraId="76156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 w14:paraId="492BEB9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14" w:type="dxa"/>
          </w:tcPr>
          <w:p w14:paraId="0B7B495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定位使用的卫星数</w:t>
            </w:r>
          </w:p>
        </w:tc>
        <w:tc>
          <w:tcPr>
            <w:tcW w:w="1077" w:type="dxa"/>
          </w:tcPr>
          <w:p w14:paraId="7C9CE7F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 w14:paraId="4BA6CCE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</w:tcPr>
          <w:p w14:paraId="4085411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定位使用的卫星数</w:t>
            </w:r>
          </w:p>
        </w:tc>
        <w:tc>
          <w:tcPr>
            <w:tcW w:w="1153" w:type="dxa"/>
          </w:tcPr>
          <w:p w14:paraId="2C15FD39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 w14:paraId="4CD07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 w14:paraId="5B461C3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14" w:type="dxa"/>
          </w:tcPr>
          <w:p w14:paraId="582810E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GPS卫星数</w:t>
            </w:r>
          </w:p>
        </w:tc>
        <w:tc>
          <w:tcPr>
            <w:tcW w:w="1077" w:type="dxa"/>
          </w:tcPr>
          <w:p w14:paraId="788661C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 w14:paraId="4E57D26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</w:tcPr>
          <w:p w14:paraId="5F3C661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当前能使用的GPS卫星数</w:t>
            </w:r>
          </w:p>
        </w:tc>
        <w:tc>
          <w:tcPr>
            <w:tcW w:w="1153" w:type="dxa"/>
          </w:tcPr>
          <w:p w14:paraId="7D2D1DC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 w14:paraId="52F64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 w14:paraId="2047B2C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114" w:type="dxa"/>
          </w:tcPr>
          <w:p w14:paraId="1D84DA0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北斗卫星数</w:t>
            </w:r>
          </w:p>
        </w:tc>
        <w:tc>
          <w:tcPr>
            <w:tcW w:w="1077" w:type="dxa"/>
          </w:tcPr>
          <w:p w14:paraId="12C2DE3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 w14:paraId="3B2E777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</w:tcPr>
          <w:p w14:paraId="26B5C167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当前能使用的北斗卫星数</w:t>
            </w:r>
          </w:p>
        </w:tc>
        <w:tc>
          <w:tcPr>
            <w:tcW w:w="1153" w:type="dxa"/>
          </w:tcPr>
          <w:p w14:paraId="68120E4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 w14:paraId="0E5F4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647" w:type="dxa"/>
          </w:tcPr>
          <w:p w14:paraId="7D00917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14" w:type="dxa"/>
          </w:tcPr>
          <w:p w14:paraId="53CF6E0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GPS状态</w:t>
            </w:r>
          </w:p>
        </w:tc>
        <w:tc>
          <w:tcPr>
            <w:tcW w:w="1077" w:type="dxa"/>
          </w:tcPr>
          <w:p w14:paraId="1562A64C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665014E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23" w:type="dxa"/>
          </w:tcPr>
          <w:p w14:paraId="7DAFF1E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0：不可用(FIX NOT valid)，1：单点定位(GPS FIX)，2：差分定位(DGPS)，3：PPS无效，4：实时差分定位（RTK FIX）</w:t>
            </w:r>
          </w:p>
        </w:tc>
        <w:tc>
          <w:tcPr>
            <w:tcW w:w="1153" w:type="dxa"/>
          </w:tcPr>
          <w:p w14:paraId="35D58CF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 w14:paraId="74C7C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 w14:paraId="51CD63E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114" w:type="dxa"/>
          </w:tcPr>
          <w:p w14:paraId="3B64EDD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定位模式</w:t>
            </w:r>
          </w:p>
        </w:tc>
        <w:tc>
          <w:tcPr>
            <w:tcW w:w="1077" w:type="dxa"/>
          </w:tcPr>
          <w:p w14:paraId="66B882A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36E560D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23" w:type="dxa"/>
          </w:tcPr>
          <w:p w14:paraId="2A9058E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1：未定位，2：2D定位，3：3D定位</w:t>
            </w:r>
          </w:p>
        </w:tc>
        <w:tc>
          <w:tcPr>
            <w:tcW w:w="1153" w:type="dxa"/>
          </w:tcPr>
          <w:p w14:paraId="163E9B2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 w14:paraId="1521C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 w14:paraId="2A60DEA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114" w:type="dxa"/>
          </w:tcPr>
          <w:p w14:paraId="186ECFF7">
            <w:pPr>
              <w:bidi w:val="0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Consolas" w:hAnsi="Consolas" w:eastAsia="Consolas"/>
                <w:color w:val="000000"/>
                <w:sz w:val="20"/>
                <w:szCs w:val="24"/>
                <w:highlight w:val="none"/>
              </w:rPr>
              <w:t>hdop</w:t>
            </w: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水平精度因子</w:t>
            </w:r>
          </w:p>
        </w:tc>
        <w:tc>
          <w:tcPr>
            <w:tcW w:w="1077" w:type="dxa"/>
          </w:tcPr>
          <w:p w14:paraId="23CB5DF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7EFDA61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</w:tcPr>
          <w:p w14:paraId="5F52094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Consolas" w:hAnsi="Consolas" w:eastAsia="Consolas"/>
                <w:color w:val="000000"/>
                <w:sz w:val="20"/>
                <w:szCs w:val="24"/>
                <w:highlight w:val="none"/>
              </w:rPr>
              <w:t>hdop</w:t>
            </w: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水平精度因子，单位0.1M</w:t>
            </w:r>
          </w:p>
        </w:tc>
        <w:tc>
          <w:tcPr>
            <w:tcW w:w="1153" w:type="dxa"/>
          </w:tcPr>
          <w:p w14:paraId="3E4DC9FA">
            <w:pPr>
              <w:bidi w:val="0"/>
              <w:rPr>
                <w:rFonts w:hint="eastAsia" w:ascii="Consolas" w:hAnsi="Consolas" w:eastAsia="Consolas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 w14:paraId="29087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 w14:paraId="6ACD379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114" w:type="dxa"/>
          </w:tcPr>
          <w:p w14:paraId="69788B61"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运动速度</w:t>
            </w:r>
          </w:p>
        </w:tc>
        <w:tc>
          <w:tcPr>
            <w:tcW w:w="1077" w:type="dxa"/>
          </w:tcPr>
          <w:p w14:paraId="3C0C47B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157CF63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</w:tcPr>
          <w:p w14:paraId="21A2D4B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单位：0.01节</w:t>
            </w:r>
          </w:p>
        </w:tc>
        <w:tc>
          <w:tcPr>
            <w:tcW w:w="1153" w:type="dxa"/>
          </w:tcPr>
          <w:p w14:paraId="422A34A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 w14:paraId="336D5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 w14:paraId="3AE37BB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114" w:type="dxa"/>
          </w:tcPr>
          <w:p w14:paraId="11B3D2E5"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运动方向</w:t>
            </w:r>
          </w:p>
        </w:tc>
        <w:tc>
          <w:tcPr>
            <w:tcW w:w="1077" w:type="dxa"/>
          </w:tcPr>
          <w:p w14:paraId="01F5137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0D54266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</w:tcPr>
          <w:p w14:paraId="578F4DD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真北参照系运动角度，0~359，单位度</w:t>
            </w:r>
          </w:p>
        </w:tc>
        <w:tc>
          <w:tcPr>
            <w:tcW w:w="1153" w:type="dxa"/>
          </w:tcPr>
          <w:p w14:paraId="2440CA7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</w:tbl>
    <w:p w14:paraId="26900CAA">
      <w:pPr>
        <w:bidi w:val="0"/>
        <w:rPr>
          <w:rFonts w:hint="eastAsia"/>
          <w:lang w:val="en-US" w:eastAsia="zh-CN"/>
        </w:rPr>
      </w:pPr>
    </w:p>
    <w:p w14:paraId="159321B2">
      <w:pPr>
        <w:bidi w:val="0"/>
        <w:rPr>
          <w:rFonts w:hint="eastAsia"/>
          <w:lang w:val="en-US" w:eastAsia="zh-CN"/>
        </w:rPr>
      </w:pPr>
    </w:p>
    <w:p w14:paraId="16B40B52">
      <w:pPr>
        <w:bidi w:val="0"/>
        <w:rPr>
          <w:rFonts w:hint="eastAsia"/>
          <w:lang w:val="en-US" w:eastAsia="zh-CN"/>
        </w:rPr>
      </w:pPr>
    </w:p>
    <w:p w14:paraId="717E1D33">
      <w:pPr>
        <w:bidi w:val="0"/>
        <w:rPr>
          <w:rFonts w:hint="eastAsia"/>
          <w:lang w:val="en-US" w:eastAsia="zh-CN"/>
        </w:rPr>
      </w:pPr>
    </w:p>
    <w:p w14:paraId="0C9B82EF">
      <w:pPr>
        <w:bidi w:val="0"/>
        <w:rPr>
          <w:rFonts w:hint="eastAsia"/>
          <w:lang w:val="en-US" w:eastAsia="zh-CN"/>
        </w:rPr>
      </w:pPr>
    </w:p>
    <w:p w14:paraId="1C5F7071"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表12、</w:t>
      </w:r>
      <w:r>
        <w:rPr>
          <w:rFonts w:hint="eastAsia"/>
          <w:vertAlign w:val="baseline"/>
          <w:lang w:val="en-US" w:eastAsia="zh-CN"/>
        </w:rPr>
        <w:t>地检状态监控报文内容定义</w:t>
      </w:r>
    </w:p>
    <w:tbl>
      <w:tblPr>
        <w:tblStyle w:val="5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059"/>
        <w:gridCol w:w="1077"/>
        <w:gridCol w:w="1064"/>
        <w:gridCol w:w="3409"/>
        <w:gridCol w:w="1386"/>
      </w:tblGrid>
      <w:tr w14:paraId="77AF7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9429C2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59" w:type="dxa"/>
          </w:tcPr>
          <w:p w14:paraId="7C087C0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77" w:type="dxa"/>
          </w:tcPr>
          <w:p w14:paraId="008FFFD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 w14:paraId="71D237D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09" w:type="dxa"/>
          </w:tcPr>
          <w:p w14:paraId="1A418F7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386" w:type="dxa"/>
          </w:tcPr>
          <w:p w14:paraId="0814AE64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 w14:paraId="2DDDA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1A2D5C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59" w:type="dxa"/>
          </w:tcPr>
          <w:p w14:paraId="4580A4E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CPU0占用率</w:t>
            </w:r>
          </w:p>
        </w:tc>
        <w:tc>
          <w:tcPr>
            <w:tcW w:w="1077" w:type="dxa"/>
          </w:tcPr>
          <w:p w14:paraId="54EB7B9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335FEC2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429DE22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CPU1运行时间/总时间*100</w:t>
            </w:r>
          </w:p>
        </w:tc>
        <w:tc>
          <w:tcPr>
            <w:tcW w:w="1386" w:type="dxa"/>
          </w:tcPr>
          <w:p w14:paraId="3CB803F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 w14:paraId="4B8E8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5B72A1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59" w:type="dxa"/>
          </w:tcPr>
          <w:p w14:paraId="17F77E3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CPU1占用率</w:t>
            </w:r>
          </w:p>
        </w:tc>
        <w:tc>
          <w:tcPr>
            <w:tcW w:w="1077" w:type="dxa"/>
          </w:tcPr>
          <w:p w14:paraId="6264E9F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7906C26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21D52F97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CPU1运行时间/总时间*100</w:t>
            </w:r>
          </w:p>
        </w:tc>
        <w:tc>
          <w:tcPr>
            <w:tcW w:w="1386" w:type="dxa"/>
          </w:tcPr>
          <w:p w14:paraId="417A11EC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 w14:paraId="24CBB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7C3A7DE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59" w:type="dxa"/>
          </w:tcPr>
          <w:p w14:paraId="273B184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地检/终端程序版本号</w:t>
            </w:r>
          </w:p>
        </w:tc>
        <w:tc>
          <w:tcPr>
            <w:tcW w:w="1077" w:type="dxa"/>
          </w:tcPr>
          <w:p w14:paraId="52A6853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6862061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783CFE8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VDES地检/终端程序版本号</w:t>
            </w:r>
          </w:p>
        </w:tc>
        <w:tc>
          <w:tcPr>
            <w:tcW w:w="1386" w:type="dxa"/>
          </w:tcPr>
          <w:p w14:paraId="68B3ED3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 w14:paraId="271C1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1EBF12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059" w:type="dxa"/>
          </w:tcPr>
          <w:p w14:paraId="6DFAF64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开机后运行时间</w:t>
            </w:r>
          </w:p>
        </w:tc>
        <w:tc>
          <w:tcPr>
            <w:tcW w:w="1077" w:type="dxa"/>
          </w:tcPr>
          <w:p w14:paraId="0AFEFAF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6534B2B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1586AB1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VDES地检/终端从上电开始的秒计数</w:t>
            </w:r>
          </w:p>
        </w:tc>
        <w:tc>
          <w:tcPr>
            <w:tcW w:w="1386" w:type="dxa"/>
          </w:tcPr>
          <w:p w14:paraId="783A613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 w14:paraId="6CA80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EF15FB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059" w:type="dxa"/>
          </w:tcPr>
          <w:p w14:paraId="4847A16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GPS状态</w:t>
            </w:r>
          </w:p>
        </w:tc>
        <w:tc>
          <w:tcPr>
            <w:tcW w:w="1077" w:type="dxa"/>
          </w:tcPr>
          <w:p w14:paraId="4589531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72E5ABF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5410289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GPS模块工作状态，0：未工作，1：正常工作</w:t>
            </w:r>
          </w:p>
        </w:tc>
        <w:tc>
          <w:tcPr>
            <w:tcW w:w="1386" w:type="dxa"/>
          </w:tcPr>
          <w:p w14:paraId="52A33B6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 w14:paraId="7EF8B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1D7B938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059" w:type="dxa"/>
          </w:tcPr>
          <w:p w14:paraId="31DF9AF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内部PPS锁定状态</w:t>
            </w:r>
          </w:p>
        </w:tc>
        <w:tc>
          <w:tcPr>
            <w:tcW w:w="1077" w:type="dxa"/>
          </w:tcPr>
          <w:p w14:paraId="230BCFF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7B55E0F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0B62174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内部PPS是否已锁定GPS提供的外部PPS，0：已锁定，1：未锁定</w:t>
            </w:r>
          </w:p>
        </w:tc>
        <w:tc>
          <w:tcPr>
            <w:tcW w:w="1386" w:type="dxa"/>
          </w:tcPr>
          <w:p w14:paraId="48EEC06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 w14:paraId="5C720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851C2E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059" w:type="dxa"/>
          </w:tcPr>
          <w:p w14:paraId="3378B09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AD9361状态</w:t>
            </w:r>
          </w:p>
        </w:tc>
        <w:tc>
          <w:tcPr>
            <w:tcW w:w="1077" w:type="dxa"/>
          </w:tcPr>
          <w:p w14:paraId="7674DC6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4D57CF0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33D647C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AD9361状态：0：AD9361初始化失败，1：AD9361初始化成功，2：AD9361根据PPS校准成功</w:t>
            </w:r>
          </w:p>
        </w:tc>
        <w:tc>
          <w:tcPr>
            <w:tcW w:w="1386" w:type="dxa"/>
          </w:tcPr>
          <w:p w14:paraId="0720136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 w14:paraId="5D5DC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0DDE07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059" w:type="dxa"/>
          </w:tcPr>
          <w:p w14:paraId="033CEBB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AD9361频率校准因子</w:t>
            </w:r>
          </w:p>
        </w:tc>
        <w:tc>
          <w:tcPr>
            <w:tcW w:w="1077" w:type="dxa"/>
          </w:tcPr>
          <w:p w14:paraId="69A576F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1E86CA7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2FD332F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利用PPS和AD9361接收采样频率计算出的校准因子，等于（目标频率+校准频率）/</w:t>
            </w:r>
            <w:bookmarkStart w:id="1" w:name="OLE_LINK4"/>
            <w:r>
              <w:rPr>
                <w:rFonts w:hint="eastAsia"/>
                <w:vertAlign w:val="baseline"/>
                <w:lang w:val="en-US" w:eastAsia="zh-CN"/>
              </w:rPr>
              <w:t>目标频率</w:t>
            </w:r>
            <w:bookmarkEnd w:id="1"/>
            <w:r>
              <w:rPr>
                <w:rFonts w:hint="eastAsia"/>
                <w:vertAlign w:val="baseline"/>
                <w:lang w:val="en-US" w:eastAsia="zh-CN"/>
              </w:rPr>
              <w:t>*33554432</w:t>
            </w:r>
          </w:p>
        </w:tc>
        <w:tc>
          <w:tcPr>
            <w:tcW w:w="1386" w:type="dxa"/>
          </w:tcPr>
          <w:p w14:paraId="46D143F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1C338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EFB8FA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059" w:type="dxa"/>
          </w:tcPr>
          <w:p w14:paraId="346E009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AD9361发射本振频率</w:t>
            </w:r>
          </w:p>
        </w:tc>
        <w:tc>
          <w:tcPr>
            <w:tcW w:w="1077" w:type="dxa"/>
          </w:tcPr>
          <w:p w14:paraId="72F3BD7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3CD5E5D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31BDA28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" w:name="OLE_LINK5"/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  <w:bookmarkEnd w:id="2"/>
          </w:p>
        </w:tc>
        <w:tc>
          <w:tcPr>
            <w:tcW w:w="1386" w:type="dxa"/>
          </w:tcPr>
          <w:p w14:paraId="619D314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648E4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2BF143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059" w:type="dxa"/>
          </w:tcPr>
          <w:p w14:paraId="71F3446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AD9361发射采样率</w:t>
            </w:r>
          </w:p>
        </w:tc>
        <w:tc>
          <w:tcPr>
            <w:tcW w:w="1077" w:type="dxa"/>
          </w:tcPr>
          <w:p w14:paraId="626D942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649A38D4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352C9E1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3" w:name="OLE_LINK6"/>
            <w:r>
              <w:rPr>
                <w:rFonts w:hint="eastAsia"/>
                <w:vertAlign w:val="baseline"/>
                <w:lang w:val="en-US" w:eastAsia="zh-CN"/>
              </w:rPr>
              <w:t>单位</w:t>
            </w:r>
            <w:bookmarkEnd w:id="3"/>
            <w:r>
              <w:rPr>
                <w:rFonts w:hint="eastAsia"/>
                <w:vertAlign w:val="baseline"/>
                <w:lang w:val="en-US" w:eastAsia="zh-CN"/>
              </w:rPr>
              <w:t>SPS</w:t>
            </w:r>
          </w:p>
        </w:tc>
        <w:tc>
          <w:tcPr>
            <w:tcW w:w="1386" w:type="dxa"/>
          </w:tcPr>
          <w:p w14:paraId="35385B2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2B4D9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6C9D37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059" w:type="dxa"/>
          </w:tcPr>
          <w:p w14:paraId="62B8466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AD9361发射衰减</w:t>
            </w:r>
          </w:p>
        </w:tc>
        <w:tc>
          <w:tcPr>
            <w:tcW w:w="1077" w:type="dxa"/>
          </w:tcPr>
          <w:p w14:paraId="6FB6527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1219100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78B0570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4" w:name="OLE_LINK7"/>
            <w:r>
              <w:rPr>
                <w:rFonts w:hint="eastAsia"/>
                <w:vertAlign w:val="baseline"/>
                <w:lang w:val="en-US" w:eastAsia="zh-CN"/>
              </w:rPr>
              <w:t>（0~89）单位dB</w:t>
            </w:r>
            <w:bookmarkEnd w:id="4"/>
          </w:p>
        </w:tc>
        <w:tc>
          <w:tcPr>
            <w:tcW w:w="1386" w:type="dxa"/>
          </w:tcPr>
          <w:p w14:paraId="67A7111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3F836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A96A64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059" w:type="dxa"/>
          </w:tcPr>
          <w:p w14:paraId="57A49ED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AD9361接收本振频率</w:t>
            </w:r>
          </w:p>
        </w:tc>
        <w:tc>
          <w:tcPr>
            <w:tcW w:w="1077" w:type="dxa"/>
          </w:tcPr>
          <w:p w14:paraId="2DDB6D6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3A2E56F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1CFF902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 w14:paraId="26A317D5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449B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2" w:type="dxa"/>
          </w:tcPr>
          <w:p w14:paraId="2A06A40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059" w:type="dxa"/>
          </w:tcPr>
          <w:p w14:paraId="7DCDDEE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AD9361接收采样率</w:t>
            </w:r>
          </w:p>
        </w:tc>
        <w:tc>
          <w:tcPr>
            <w:tcW w:w="1077" w:type="dxa"/>
          </w:tcPr>
          <w:p w14:paraId="381A772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1BAA11E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262152A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单位SPS</w:t>
            </w:r>
          </w:p>
        </w:tc>
        <w:tc>
          <w:tcPr>
            <w:tcW w:w="1386" w:type="dxa"/>
          </w:tcPr>
          <w:p w14:paraId="6D2204C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2F18A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77EA3C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059" w:type="dxa"/>
          </w:tcPr>
          <w:p w14:paraId="5146990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AD9361接收增益</w:t>
            </w:r>
          </w:p>
        </w:tc>
        <w:tc>
          <w:tcPr>
            <w:tcW w:w="1077" w:type="dxa"/>
          </w:tcPr>
          <w:p w14:paraId="30E64ED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7D7252F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7597191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（0~76）单位dB</w:t>
            </w:r>
          </w:p>
        </w:tc>
        <w:tc>
          <w:tcPr>
            <w:tcW w:w="1386" w:type="dxa"/>
          </w:tcPr>
          <w:p w14:paraId="2C7CB329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710EF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A26FB9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059" w:type="dxa"/>
          </w:tcPr>
          <w:p w14:paraId="49FEDFC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VDES协议工作使能</w:t>
            </w:r>
          </w:p>
        </w:tc>
        <w:tc>
          <w:tcPr>
            <w:tcW w:w="1077" w:type="dxa"/>
          </w:tcPr>
          <w:p w14:paraId="508DA14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2614CDA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25DE1AB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0：VDES协议功能已关闭，1：VDES协议功能已开启</w:t>
            </w:r>
          </w:p>
        </w:tc>
        <w:tc>
          <w:tcPr>
            <w:tcW w:w="1386" w:type="dxa"/>
          </w:tcPr>
          <w:p w14:paraId="071F37B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2000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987907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059" w:type="dxa"/>
          </w:tcPr>
          <w:p w14:paraId="786B1AA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VDES报文过滤使能</w:t>
            </w:r>
          </w:p>
        </w:tc>
        <w:tc>
          <w:tcPr>
            <w:tcW w:w="1077" w:type="dxa"/>
          </w:tcPr>
          <w:p w14:paraId="0CC1415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3F361BA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46962F2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0：关闭VDES报文过滤，接送所有VDES报文，1：VDES报文过滤开启，只接收与本船站有关的VDES报文</w:t>
            </w:r>
          </w:p>
        </w:tc>
        <w:tc>
          <w:tcPr>
            <w:tcW w:w="1386" w:type="dxa"/>
          </w:tcPr>
          <w:p w14:paraId="73FC24C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3E5EE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FD1F86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2059" w:type="dxa"/>
          </w:tcPr>
          <w:p w14:paraId="3A9BF4A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随机信道消息接入限制使能</w:t>
            </w:r>
          </w:p>
        </w:tc>
        <w:tc>
          <w:tcPr>
            <w:tcW w:w="1077" w:type="dxa"/>
          </w:tcPr>
          <w:p w14:paraId="448FCE8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4F106DD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36631E1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限制每15分钟在VDES终端RAC信道上最多发送多少次报文</w:t>
            </w:r>
          </w:p>
        </w:tc>
        <w:tc>
          <w:tcPr>
            <w:tcW w:w="1386" w:type="dxa"/>
          </w:tcPr>
          <w:p w14:paraId="5CFCAB3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0A4E6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6A3FD3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059" w:type="dxa"/>
          </w:tcPr>
          <w:p w14:paraId="1A2FC13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VDES接收AGC使能</w:t>
            </w:r>
          </w:p>
        </w:tc>
        <w:tc>
          <w:tcPr>
            <w:tcW w:w="1077" w:type="dxa"/>
          </w:tcPr>
          <w:p w14:paraId="384066B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3237B4CC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4550CD4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0：关闭1：开启</w:t>
            </w:r>
          </w:p>
        </w:tc>
        <w:tc>
          <w:tcPr>
            <w:tcW w:w="1386" w:type="dxa"/>
          </w:tcPr>
          <w:p w14:paraId="58043A6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78E7E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730B7D6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59" w:type="dxa"/>
          </w:tcPr>
          <w:p w14:paraId="2D479E7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星地延时补偿使能</w:t>
            </w:r>
          </w:p>
        </w:tc>
        <w:tc>
          <w:tcPr>
            <w:tcW w:w="1077" w:type="dxa"/>
          </w:tcPr>
          <w:p w14:paraId="33F9359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037A106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4B51732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0：关闭1：开启</w:t>
            </w:r>
          </w:p>
        </w:tc>
        <w:tc>
          <w:tcPr>
            <w:tcW w:w="1386" w:type="dxa"/>
          </w:tcPr>
          <w:p w14:paraId="228BDDC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0E430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ECD5EE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2059" w:type="dxa"/>
          </w:tcPr>
          <w:p w14:paraId="4F59634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上半频段卫星ID</w:t>
            </w:r>
          </w:p>
        </w:tc>
        <w:tc>
          <w:tcPr>
            <w:tcW w:w="1077" w:type="dxa"/>
          </w:tcPr>
          <w:p w14:paraId="60FCD5B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13DF4A3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412D38E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5" w:name="OLE_LINK8"/>
            <w:r>
              <w:rPr>
                <w:rFonts w:hint="eastAsia"/>
                <w:vertAlign w:val="baseline"/>
                <w:lang w:val="en-US" w:eastAsia="zh-CN"/>
              </w:rPr>
              <w:t>161.9125MHZ频点卫星的ID</w:t>
            </w:r>
            <w:bookmarkEnd w:id="5"/>
            <w:r>
              <w:rPr>
                <w:rFonts w:hint="eastAsia"/>
                <w:vertAlign w:val="baseline"/>
                <w:lang w:val="en-US" w:eastAsia="zh-CN"/>
              </w:rPr>
              <w:t>号</w:t>
            </w:r>
          </w:p>
        </w:tc>
        <w:tc>
          <w:tcPr>
            <w:tcW w:w="1386" w:type="dxa"/>
          </w:tcPr>
          <w:p w14:paraId="16D60CF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 w14:paraId="26643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B4D98A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2059" w:type="dxa"/>
          </w:tcPr>
          <w:p w14:paraId="29BF45C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上半频段卫星CQI</w:t>
            </w:r>
          </w:p>
        </w:tc>
        <w:tc>
          <w:tcPr>
            <w:tcW w:w="1077" w:type="dxa"/>
          </w:tcPr>
          <w:p w14:paraId="7FA6335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11DB7C5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62AC94F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6" w:name="OLE_LINK9"/>
            <w:r>
              <w:rPr>
                <w:rFonts w:hint="eastAsia"/>
                <w:vertAlign w:val="baseline"/>
                <w:lang w:val="en-US" w:eastAsia="zh-CN"/>
              </w:rPr>
              <w:t>161.9125MHZ频点卫星</w:t>
            </w:r>
            <w:bookmarkEnd w:id="6"/>
            <w:r>
              <w:rPr>
                <w:rFonts w:hint="eastAsia"/>
                <w:vertAlign w:val="baseline"/>
                <w:lang w:val="en-US" w:eastAsia="zh-CN"/>
              </w:rPr>
              <w:t>的CQI = 40+SNR*4</w:t>
            </w:r>
          </w:p>
        </w:tc>
        <w:tc>
          <w:tcPr>
            <w:tcW w:w="1386" w:type="dxa"/>
          </w:tcPr>
          <w:p w14:paraId="52A67A0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 w14:paraId="0DEF9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129F428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2059" w:type="dxa"/>
          </w:tcPr>
          <w:p w14:paraId="66E7CA6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上半频段卫星信号平均幅度</w:t>
            </w:r>
          </w:p>
        </w:tc>
        <w:tc>
          <w:tcPr>
            <w:tcW w:w="1077" w:type="dxa"/>
          </w:tcPr>
          <w:p w14:paraId="6324A03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6ADD54F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145F9C4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7" w:name="OLE_LINK12"/>
            <w:r>
              <w:rPr>
                <w:rFonts w:hint="eastAsia"/>
                <w:vertAlign w:val="baseline"/>
                <w:lang w:val="en-US" w:eastAsia="zh-CN"/>
              </w:rPr>
              <w:t>161.9125MHZ频点卫星的信号采样平均幅度</w:t>
            </w:r>
            <w:bookmarkEnd w:id="7"/>
          </w:p>
        </w:tc>
        <w:tc>
          <w:tcPr>
            <w:tcW w:w="1386" w:type="dxa"/>
          </w:tcPr>
          <w:p w14:paraId="09C0CFA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 w14:paraId="24182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15F111C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2059" w:type="dxa"/>
          </w:tcPr>
          <w:p w14:paraId="6DB4660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下半频段卫星ID</w:t>
            </w:r>
          </w:p>
        </w:tc>
        <w:tc>
          <w:tcPr>
            <w:tcW w:w="1077" w:type="dxa"/>
          </w:tcPr>
          <w:p w14:paraId="33E17DA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0A6FB09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72C8057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8" w:name="OLE_LINK10"/>
            <w:r>
              <w:rPr>
                <w:rFonts w:hint="eastAsia"/>
                <w:vertAlign w:val="baseline"/>
                <w:lang w:val="en-US" w:eastAsia="zh-CN"/>
              </w:rPr>
              <w:t>157.3125MHZ频点</w:t>
            </w:r>
            <w:bookmarkEnd w:id="8"/>
            <w:r>
              <w:rPr>
                <w:rFonts w:hint="eastAsia"/>
                <w:vertAlign w:val="baseline"/>
                <w:lang w:val="en-US" w:eastAsia="zh-CN"/>
              </w:rPr>
              <w:t>卫星的ID</w:t>
            </w:r>
            <w:bookmarkStart w:id="9" w:name="OLE_LINK11"/>
            <w:r>
              <w:rPr>
                <w:rFonts w:hint="eastAsia"/>
                <w:vertAlign w:val="baseline"/>
                <w:lang w:val="en-US" w:eastAsia="zh-CN"/>
              </w:rPr>
              <w:t>号</w:t>
            </w:r>
            <w:bookmarkEnd w:id="9"/>
          </w:p>
        </w:tc>
        <w:tc>
          <w:tcPr>
            <w:tcW w:w="1386" w:type="dxa"/>
          </w:tcPr>
          <w:p w14:paraId="11FB6A5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 w14:paraId="2B71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13CD669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2059" w:type="dxa"/>
          </w:tcPr>
          <w:p w14:paraId="1869F7A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下半频段卫星CQI</w:t>
            </w:r>
          </w:p>
        </w:tc>
        <w:tc>
          <w:tcPr>
            <w:tcW w:w="1077" w:type="dxa"/>
          </w:tcPr>
          <w:p w14:paraId="63353B1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033D148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5721FC4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157.3125MHZ频点卫星的CQI</w:t>
            </w:r>
          </w:p>
        </w:tc>
        <w:tc>
          <w:tcPr>
            <w:tcW w:w="1386" w:type="dxa"/>
          </w:tcPr>
          <w:p w14:paraId="75C29F2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 w14:paraId="530CC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46BB63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2059" w:type="dxa"/>
          </w:tcPr>
          <w:p w14:paraId="3526C42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下半频段卫星信号平均功率</w:t>
            </w:r>
          </w:p>
        </w:tc>
        <w:tc>
          <w:tcPr>
            <w:tcW w:w="1077" w:type="dxa"/>
          </w:tcPr>
          <w:p w14:paraId="4FA078D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6F83AB3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088D502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157.3125MHZ频点卫星的信号采样平均幅度</w:t>
            </w:r>
          </w:p>
        </w:tc>
        <w:tc>
          <w:tcPr>
            <w:tcW w:w="1386" w:type="dxa"/>
          </w:tcPr>
          <w:p w14:paraId="087E15A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 w14:paraId="410B9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BBF4D1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2059" w:type="dxa"/>
          </w:tcPr>
          <w:p w14:paraId="2E971AE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当前选用的卫星ID</w:t>
            </w:r>
          </w:p>
        </w:tc>
        <w:tc>
          <w:tcPr>
            <w:tcW w:w="1077" w:type="dxa"/>
          </w:tcPr>
          <w:p w14:paraId="6C0D319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7AD1481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7583C56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当前终端选用的卫星ID号</w:t>
            </w:r>
          </w:p>
        </w:tc>
        <w:tc>
          <w:tcPr>
            <w:tcW w:w="1386" w:type="dxa"/>
          </w:tcPr>
          <w:p w14:paraId="13F51E9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 w14:paraId="273BC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9D3B88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</w:t>
            </w:r>
          </w:p>
        </w:tc>
        <w:tc>
          <w:tcPr>
            <w:tcW w:w="2059" w:type="dxa"/>
          </w:tcPr>
          <w:p w14:paraId="3F81400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当前VDES时隙号</w:t>
            </w:r>
          </w:p>
        </w:tc>
        <w:tc>
          <w:tcPr>
            <w:tcW w:w="1077" w:type="dxa"/>
          </w:tcPr>
          <w:p w14:paraId="30C5486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 w14:paraId="3035012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09" w:type="dxa"/>
          </w:tcPr>
          <w:p w14:paraId="7A68C95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0~2249</w:t>
            </w:r>
          </w:p>
        </w:tc>
        <w:tc>
          <w:tcPr>
            <w:tcW w:w="1386" w:type="dxa"/>
          </w:tcPr>
          <w:p w14:paraId="307691A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681E2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8492B1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2059" w:type="dxa"/>
          </w:tcPr>
          <w:p w14:paraId="763AC77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当前VDES子帧编号</w:t>
            </w:r>
          </w:p>
        </w:tc>
        <w:tc>
          <w:tcPr>
            <w:tcW w:w="1077" w:type="dxa"/>
          </w:tcPr>
          <w:p w14:paraId="4CA7D46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09B2212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18E1C06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0~3</w:t>
            </w:r>
          </w:p>
        </w:tc>
        <w:tc>
          <w:tcPr>
            <w:tcW w:w="1386" w:type="dxa"/>
          </w:tcPr>
          <w:p w14:paraId="4684CDC4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7083A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7F036D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</w:t>
            </w:r>
          </w:p>
        </w:tc>
        <w:tc>
          <w:tcPr>
            <w:tcW w:w="2059" w:type="dxa"/>
          </w:tcPr>
          <w:p w14:paraId="577C775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VDES发射LinKID</w:t>
            </w:r>
          </w:p>
        </w:tc>
        <w:tc>
          <w:tcPr>
            <w:tcW w:w="1077" w:type="dxa"/>
          </w:tcPr>
          <w:p w14:paraId="33BED19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41815819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02CB25F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20、21、22、24</w:t>
            </w:r>
          </w:p>
        </w:tc>
        <w:tc>
          <w:tcPr>
            <w:tcW w:w="1386" w:type="dxa"/>
          </w:tcPr>
          <w:p w14:paraId="357DDA1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4EC3D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F35FB0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2059" w:type="dxa"/>
          </w:tcPr>
          <w:p w14:paraId="77D7BFB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VDES发射通道</w:t>
            </w:r>
          </w:p>
        </w:tc>
        <w:tc>
          <w:tcPr>
            <w:tcW w:w="1077" w:type="dxa"/>
          </w:tcPr>
          <w:p w14:paraId="56B2681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02BD993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4629D63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</w:tcPr>
          <w:p w14:paraId="413D90E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3CC82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2" w:type="dxa"/>
          </w:tcPr>
          <w:p w14:paraId="3288AB1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</w:t>
            </w:r>
          </w:p>
        </w:tc>
        <w:tc>
          <w:tcPr>
            <w:tcW w:w="2059" w:type="dxa"/>
          </w:tcPr>
          <w:p w14:paraId="08B8632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VDES发射频点</w:t>
            </w:r>
          </w:p>
        </w:tc>
        <w:tc>
          <w:tcPr>
            <w:tcW w:w="1077" w:type="dxa"/>
          </w:tcPr>
          <w:p w14:paraId="1276C96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28DCBB1C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5B1019E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 w14:paraId="4399FF3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7B2DF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734C61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2059" w:type="dxa"/>
          </w:tcPr>
          <w:p w14:paraId="61D55FB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VDES上行数据缓存区1状态</w:t>
            </w:r>
          </w:p>
        </w:tc>
        <w:tc>
          <w:tcPr>
            <w:tcW w:w="1077" w:type="dxa"/>
          </w:tcPr>
          <w:p w14:paraId="76F12FB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0" w:name="OLE_LINK3"/>
            <w:r>
              <w:rPr>
                <w:rFonts w:hint="eastAsia"/>
                <w:vertAlign w:val="baseline"/>
                <w:lang w:val="en-US" w:eastAsia="zh-CN"/>
              </w:rPr>
              <w:t>1</w:t>
            </w:r>
            <w:bookmarkEnd w:id="10"/>
          </w:p>
        </w:tc>
        <w:tc>
          <w:tcPr>
            <w:tcW w:w="1064" w:type="dxa"/>
          </w:tcPr>
          <w:p w14:paraId="335EE16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1" w:name="OLE_LINK2"/>
            <w:r>
              <w:rPr>
                <w:rFonts w:hint="eastAsia"/>
                <w:vertAlign w:val="baseline"/>
                <w:lang w:val="en-US" w:eastAsia="zh-CN"/>
              </w:rPr>
              <w:t>Uint8</w:t>
            </w:r>
            <w:bookmarkEnd w:id="11"/>
          </w:p>
        </w:tc>
        <w:tc>
          <w:tcPr>
            <w:tcW w:w="3409" w:type="dxa"/>
          </w:tcPr>
          <w:p w14:paraId="4BD9E3B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0：空闲，1：占用，2：尝试续传，3：发送成功</w:t>
            </w:r>
          </w:p>
        </w:tc>
        <w:tc>
          <w:tcPr>
            <w:tcW w:w="1386" w:type="dxa"/>
          </w:tcPr>
          <w:p w14:paraId="4A0761C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5229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A08E69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2059" w:type="dxa"/>
          </w:tcPr>
          <w:p w14:paraId="01C96A3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VDES上行数据缓存区2状态</w:t>
            </w:r>
          </w:p>
        </w:tc>
        <w:tc>
          <w:tcPr>
            <w:tcW w:w="1077" w:type="dxa"/>
          </w:tcPr>
          <w:p w14:paraId="6F168B3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6A8A985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5A9623A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0：空闲，1：占用，2：尝试续传，3：发送成功</w:t>
            </w:r>
          </w:p>
        </w:tc>
        <w:tc>
          <w:tcPr>
            <w:tcW w:w="1386" w:type="dxa"/>
          </w:tcPr>
          <w:p w14:paraId="1C64387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4C35D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985444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2" w:name="OLE_LINK13" w:colFirst="4" w:colLast="4"/>
            <w:bookmarkStart w:id="13" w:name="OLE_LINK14" w:colFirst="4" w:colLast="4"/>
            <w:r>
              <w:rPr>
                <w:rFonts w:hint="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2059" w:type="dxa"/>
          </w:tcPr>
          <w:p w14:paraId="7C91FA3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VDES解调器1使能</w:t>
            </w:r>
          </w:p>
        </w:tc>
        <w:tc>
          <w:tcPr>
            <w:tcW w:w="1077" w:type="dxa"/>
          </w:tcPr>
          <w:p w14:paraId="797EC82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4EAC03C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2A00DA1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</w:tcPr>
          <w:p w14:paraId="760C160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29DA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7D48F4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2059" w:type="dxa"/>
          </w:tcPr>
          <w:p w14:paraId="596060D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VDES解调器1接收LINKID</w:t>
            </w:r>
          </w:p>
        </w:tc>
        <w:tc>
          <w:tcPr>
            <w:tcW w:w="1077" w:type="dxa"/>
          </w:tcPr>
          <w:p w14:paraId="3672545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122E57F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651F5E0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解调器1用于解调50KHZ信道，可用接收LinkID：25、26、27、32、33、34</w:t>
            </w:r>
          </w:p>
        </w:tc>
        <w:tc>
          <w:tcPr>
            <w:tcW w:w="1386" w:type="dxa"/>
          </w:tcPr>
          <w:p w14:paraId="4E79BB94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3F1CA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EAE989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2059" w:type="dxa"/>
          </w:tcPr>
          <w:p w14:paraId="2B91898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VDES解调器1接收信道</w:t>
            </w:r>
          </w:p>
        </w:tc>
        <w:tc>
          <w:tcPr>
            <w:tcW w:w="1077" w:type="dxa"/>
          </w:tcPr>
          <w:p w14:paraId="4A125A4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21FC4E6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2475AC1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</w:tcPr>
          <w:p w14:paraId="3F5A3595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12"/>
      <w:tr w14:paraId="34035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68BB68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  <w:tc>
          <w:tcPr>
            <w:tcW w:w="2059" w:type="dxa"/>
          </w:tcPr>
          <w:p w14:paraId="142F7A69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VDES解调器1接收频点</w:t>
            </w:r>
          </w:p>
        </w:tc>
        <w:tc>
          <w:tcPr>
            <w:tcW w:w="1077" w:type="dxa"/>
          </w:tcPr>
          <w:p w14:paraId="09D8DFB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712CD89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7CD0A73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 w14:paraId="1C6545C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13"/>
      <w:tr w14:paraId="74922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7D4AB12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2059" w:type="dxa"/>
          </w:tcPr>
          <w:p w14:paraId="4F8D8F0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VDES解调器2使能</w:t>
            </w:r>
          </w:p>
        </w:tc>
        <w:tc>
          <w:tcPr>
            <w:tcW w:w="1077" w:type="dxa"/>
          </w:tcPr>
          <w:p w14:paraId="051CCFC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 w14:paraId="6E8A2964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409" w:type="dxa"/>
            <w:vAlign w:val="top"/>
          </w:tcPr>
          <w:p w14:paraId="1EE8D9F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 w14:paraId="071FB879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3CBA2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5E4249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2059" w:type="dxa"/>
            <w:vAlign w:val="top"/>
          </w:tcPr>
          <w:p w14:paraId="3166DE63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VDES解调器2接收LINKID</w:t>
            </w:r>
          </w:p>
        </w:tc>
        <w:tc>
          <w:tcPr>
            <w:tcW w:w="1077" w:type="dxa"/>
          </w:tcPr>
          <w:p w14:paraId="602465E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3FCDE8A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 w14:paraId="0731E23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解调器2用于解调50KHZ信道，可用接收LinkID：25、26、27、32、33、34</w:t>
            </w:r>
          </w:p>
        </w:tc>
        <w:tc>
          <w:tcPr>
            <w:tcW w:w="1386" w:type="dxa"/>
            <w:vAlign w:val="top"/>
          </w:tcPr>
          <w:p w14:paraId="5DC77DA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42413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12C9D9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2059" w:type="dxa"/>
            <w:vAlign w:val="top"/>
          </w:tcPr>
          <w:p w14:paraId="4A9EA0D4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VDES解调器2接收信道</w:t>
            </w:r>
          </w:p>
        </w:tc>
        <w:tc>
          <w:tcPr>
            <w:tcW w:w="1077" w:type="dxa"/>
          </w:tcPr>
          <w:p w14:paraId="08C8C2C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4278759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 w14:paraId="7F1BAA9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 w14:paraId="35BD92F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4F67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1443E7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2059" w:type="dxa"/>
            <w:vAlign w:val="top"/>
          </w:tcPr>
          <w:p w14:paraId="6ECD42E1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VDES解调器2接收频点</w:t>
            </w:r>
          </w:p>
        </w:tc>
        <w:tc>
          <w:tcPr>
            <w:tcW w:w="1077" w:type="dxa"/>
          </w:tcPr>
          <w:p w14:paraId="2E80D4B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4B9204E4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 w14:paraId="56892E1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 w14:paraId="1423A67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3D0D6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986E30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4" w:name="OLE_LINK15" w:colFirst="4" w:colLast="4"/>
            <w:r>
              <w:rPr>
                <w:rFonts w:hint="eastAsia"/>
                <w:vertAlign w:val="baseline"/>
                <w:lang w:val="en-US" w:eastAsia="zh-CN"/>
              </w:rPr>
              <w:t>42</w:t>
            </w:r>
          </w:p>
        </w:tc>
        <w:tc>
          <w:tcPr>
            <w:tcW w:w="2059" w:type="dxa"/>
            <w:vAlign w:val="top"/>
          </w:tcPr>
          <w:p w14:paraId="5DA6CAC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VDES解调器3使能</w:t>
            </w:r>
          </w:p>
        </w:tc>
        <w:tc>
          <w:tcPr>
            <w:tcW w:w="1077" w:type="dxa"/>
          </w:tcPr>
          <w:p w14:paraId="0FDE251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5ED7B6D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 w14:paraId="7537988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 w14:paraId="4E35779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32465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0AEEBA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2059" w:type="dxa"/>
            <w:vAlign w:val="top"/>
          </w:tcPr>
          <w:p w14:paraId="129803D3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VDES解调器3接收LINKID</w:t>
            </w:r>
          </w:p>
        </w:tc>
        <w:tc>
          <w:tcPr>
            <w:tcW w:w="1077" w:type="dxa"/>
          </w:tcPr>
          <w:p w14:paraId="3C4364C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0E64EF6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 w14:paraId="541C6C7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解调器3用于解调100KHZ信道，可用接收LinkID：28</w:t>
            </w:r>
          </w:p>
        </w:tc>
        <w:tc>
          <w:tcPr>
            <w:tcW w:w="1386" w:type="dxa"/>
            <w:vAlign w:val="top"/>
          </w:tcPr>
          <w:p w14:paraId="267FBBA7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2C7E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E14C85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</w:t>
            </w:r>
          </w:p>
        </w:tc>
        <w:tc>
          <w:tcPr>
            <w:tcW w:w="2059" w:type="dxa"/>
            <w:vAlign w:val="top"/>
          </w:tcPr>
          <w:p w14:paraId="18A91160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VDES解调器3接收信道</w:t>
            </w:r>
          </w:p>
        </w:tc>
        <w:tc>
          <w:tcPr>
            <w:tcW w:w="1077" w:type="dxa"/>
          </w:tcPr>
          <w:p w14:paraId="3841B1C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0F122E0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 w14:paraId="4906257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 w14:paraId="0AAE07C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14"/>
      <w:tr w14:paraId="1C5F5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289DDF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</w:t>
            </w:r>
          </w:p>
        </w:tc>
        <w:tc>
          <w:tcPr>
            <w:tcW w:w="2059" w:type="dxa"/>
            <w:vAlign w:val="top"/>
          </w:tcPr>
          <w:p w14:paraId="41FFFCFB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VDES解调器3接收频点</w:t>
            </w:r>
          </w:p>
        </w:tc>
        <w:tc>
          <w:tcPr>
            <w:tcW w:w="1077" w:type="dxa"/>
          </w:tcPr>
          <w:p w14:paraId="616419F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4216A5B7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 w14:paraId="07FDB98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 w14:paraId="1B63967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51526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CF3AB9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  <w:tc>
          <w:tcPr>
            <w:tcW w:w="2059" w:type="dxa"/>
            <w:vAlign w:val="top"/>
          </w:tcPr>
          <w:p w14:paraId="0306117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VDES解调器4使能</w:t>
            </w:r>
          </w:p>
        </w:tc>
        <w:tc>
          <w:tcPr>
            <w:tcW w:w="1077" w:type="dxa"/>
          </w:tcPr>
          <w:p w14:paraId="555011B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210BE6A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 w14:paraId="5998DD99"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15" w:name="OLE_LINK21"/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  <w:bookmarkEnd w:id="15"/>
          </w:p>
        </w:tc>
        <w:tc>
          <w:tcPr>
            <w:tcW w:w="1386" w:type="dxa"/>
            <w:vAlign w:val="top"/>
          </w:tcPr>
          <w:p w14:paraId="0538B73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01E51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B9D5D6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</w:t>
            </w:r>
          </w:p>
        </w:tc>
        <w:tc>
          <w:tcPr>
            <w:tcW w:w="2059" w:type="dxa"/>
            <w:vAlign w:val="top"/>
          </w:tcPr>
          <w:p w14:paraId="1C2460EA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VDES解调器4接收LINKID</w:t>
            </w:r>
          </w:p>
        </w:tc>
        <w:tc>
          <w:tcPr>
            <w:tcW w:w="1077" w:type="dxa"/>
          </w:tcPr>
          <w:p w14:paraId="4680C4D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192170F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 w14:paraId="2D9B3EBB"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解调器4用于解调150KHZ信道，可用接收LinkID：29</w:t>
            </w:r>
          </w:p>
        </w:tc>
        <w:tc>
          <w:tcPr>
            <w:tcW w:w="1386" w:type="dxa"/>
            <w:vAlign w:val="top"/>
          </w:tcPr>
          <w:p w14:paraId="231D2F37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11C5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FBB5A5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48</w:t>
            </w:r>
          </w:p>
        </w:tc>
        <w:tc>
          <w:tcPr>
            <w:tcW w:w="2059" w:type="dxa"/>
            <w:vAlign w:val="top"/>
          </w:tcPr>
          <w:p w14:paraId="115E012B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VDES解调器4接收信道</w:t>
            </w:r>
          </w:p>
        </w:tc>
        <w:tc>
          <w:tcPr>
            <w:tcW w:w="1077" w:type="dxa"/>
          </w:tcPr>
          <w:p w14:paraId="6FE74A9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7E410B3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 w14:paraId="51CFE295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 w14:paraId="4252809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08F9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D5F526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49</w:t>
            </w:r>
          </w:p>
        </w:tc>
        <w:tc>
          <w:tcPr>
            <w:tcW w:w="2059" w:type="dxa"/>
            <w:vAlign w:val="top"/>
          </w:tcPr>
          <w:p w14:paraId="5A76E5E9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VDES解调器4接收频点</w:t>
            </w:r>
          </w:p>
        </w:tc>
        <w:tc>
          <w:tcPr>
            <w:tcW w:w="1077" w:type="dxa"/>
          </w:tcPr>
          <w:p w14:paraId="27C1D55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2390D8D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 w14:paraId="1A4CDE65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 w14:paraId="15D954D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63CF4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47E033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2059" w:type="dxa"/>
            <w:vAlign w:val="top"/>
          </w:tcPr>
          <w:p w14:paraId="5AF48B0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AIS解调器1使能</w:t>
            </w:r>
          </w:p>
        </w:tc>
        <w:tc>
          <w:tcPr>
            <w:tcW w:w="1077" w:type="dxa"/>
          </w:tcPr>
          <w:p w14:paraId="112482C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01CB932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 w14:paraId="38FE73C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 w14:paraId="2997E10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4577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116C82F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</w:t>
            </w:r>
          </w:p>
        </w:tc>
        <w:tc>
          <w:tcPr>
            <w:tcW w:w="2059" w:type="dxa"/>
            <w:vAlign w:val="top"/>
          </w:tcPr>
          <w:p w14:paraId="4BE95A6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AIS解调器1频点</w:t>
            </w:r>
          </w:p>
        </w:tc>
        <w:tc>
          <w:tcPr>
            <w:tcW w:w="1077" w:type="dxa"/>
          </w:tcPr>
          <w:p w14:paraId="6CEC867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1DF787A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6" w:name="OLE_LINK16"/>
            <w:r>
              <w:rPr>
                <w:rFonts w:hint="eastAsia"/>
                <w:vertAlign w:val="baseline"/>
                <w:lang w:val="en-US" w:eastAsia="zh-CN"/>
              </w:rPr>
              <w:t>Uint32</w:t>
            </w:r>
            <w:bookmarkEnd w:id="16"/>
          </w:p>
        </w:tc>
        <w:tc>
          <w:tcPr>
            <w:tcW w:w="3409" w:type="dxa"/>
            <w:vAlign w:val="top"/>
          </w:tcPr>
          <w:p w14:paraId="7D758AF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 w14:paraId="6FD40B9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22A1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ACED9F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2059" w:type="dxa"/>
            <w:vAlign w:val="top"/>
          </w:tcPr>
          <w:p w14:paraId="772D818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AIS解调器2使能</w:t>
            </w:r>
          </w:p>
        </w:tc>
        <w:tc>
          <w:tcPr>
            <w:tcW w:w="1077" w:type="dxa"/>
          </w:tcPr>
          <w:p w14:paraId="7B05FC5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7D86C9D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 w14:paraId="5D9DB1B5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 w14:paraId="5E122B17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 w14:paraId="6AB86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6B3E1D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</w:t>
            </w:r>
          </w:p>
        </w:tc>
        <w:tc>
          <w:tcPr>
            <w:tcW w:w="2059" w:type="dxa"/>
            <w:vAlign w:val="top"/>
          </w:tcPr>
          <w:p w14:paraId="02AAA75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AIS解调器2频点</w:t>
            </w:r>
          </w:p>
        </w:tc>
        <w:tc>
          <w:tcPr>
            <w:tcW w:w="1077" w:type="dxa"/>
          </w:tcPr>
          <w:p w14:paraId="44CD0E4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69A48C3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 w14:paraId="68129C7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 w14:paraId="63F19FF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</w:tbl>
    <w:p w14:paraId="6E51FC64">
      <w:pPr>
        <w:rPr>
          <w:rFonts w:hint="eastAsia"/>
          <w:lang w:val="en-US" w:eastAsia="zh-CN"/>
        </w:rPr>
      </w:pPr>
    </w:p>
    <w:p w14:paraId="2BB212B2">
      <w:pPr>
        <w:rPr>
          <w:rFonts w:hint="eastAsia"/>
          <w:lang w:val="en-US" w:eastAsia="zh-CN"/>
        </w:rPr>
      </w:pPr>
    </w:p>
    <w:p w14:paraId="0E45A91B">
      <w:pPr>
        <w:rPr>
          <w:rFonts w:hint="eastAsia"/>
          <w:lang w:val="en-US" w:eastAsia="zh-CN"/>
        </w:rPr>
      </w:pPr>
    </w:p>
    <w:p w14:paraId="3B77F65C"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表13、VDES协议参数控制</w:t>
      </w:r>
      <w:r>
        <w:rPr>
          <w:rFonts w:hint="eastAsia"/>
          <w:vertAlign w:val="baseline"/>
          <w:lang w:val="en-US" w:eastAsia="zh-CN"/>
        </w:rPr>
        <w:t>报文内容定义</w:t>
      </w:r>
    </w:p>
    <w:tbl>
      <w:tblPr>
        <w:tblStyle w:val="5"/>
        <w:tblW w:w="99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073"/>
        <w:gridCol w:w="1063"/>
        <w:gridCol w:w="1064"/>
        <w:gridCol w:w="3409"/>
        <w:gridCol w:w="1606"/>
      </w:tblGrid>
      <w:tr w14:paraId="5E4D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D47988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73" w:type="dxa"/>
          </w:tcPr>
          <w:p w14:paraId="3C24457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63" w:type="dxa"/>
          </w:tcPr>
          <w:p w14:paraId="32B4021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 w14:paraId="595319E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09" w:type="dxa"/>
          </w:tcPr>
          <w:p w14:paraId="6D783BD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606" w:type="dxa"/>
          </w:tcPr>
          <w:p w14:paraId="101FC2D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 w14:paraId="752B9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3D3114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73" w:type="dxa"/>
          </w:tcPr>
          <w:p w14:paraId="7AF027E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VDES协议工作使能</w:t>
            </w:r>
          </w:p>
        </w:tc>
        <w:tc>
          <w:tcPr>
            <w:tcW w:w="1063" w:type="dxa"/>
          </w:tcPr>
          <w:p w14:paraId="5DB9991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3C74AEB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3519D09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0：关闭VDES协议功能 1：开启VDES协议功能</w:t>
            </w:r>
          </w:p>
        </w:tc>
        <w:tc>
          <w:tcPr>
            <w:tcW w:w="1606" w:type="dxa"/>
          </w:tcPr>
          <w:p w14:paraId="1CBF274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不显示，默认开启</w:t>
            </w:r>
          </w:p>
        </w:tc>
      </w:tr>
      <w:tr w14:paraId="7CB8F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7BFF4D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73" w:type="dxa"/>
          </w:tcPr>
          <w:p w14:paraId="053F780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VDES报文过滤使能</w:t>
            </w:r>
          </w:p>
        </w:tc>
        <w:tc>
          <w:tcPr>
            <w:tcW w:w="1063" w:type="dxa"/>
          </w:tcPr>
          <w:p w14:paraId="5106F27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5C7D62B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5CAD21D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0：关闭VDES报文过滤，接收所有VDES报文，1：开启VDES报文过滤，只接收与本船站相关的VDES报文</w:t>
            </w:r>
          </w:p>
        </w:tc>
        <w:tc>
          <w:tcPr>
            <w:tcW w:w="1606" w:type="dxa"/>
          </w:tcPr>
          <w:p w14:paraId="7337164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 w14:paraId="6D2F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0D38A7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73" w:type="dxa"/>
          </w:tcPr>
          <w:p w14:paraId="429EC72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随机信道消息接入限制使能</w:t>
            </w:r>
          </w:p>
        </w:tc>
        <w:tc>
          <w:tcPr>
            <w:tcW w:w="1063" w:type="dxa"/>
          </w:tcPr>
          <w:p w14:paraId="22D7076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607E1F4C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2C41999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0：关闭，VDES终端可以通过随机信道不受限制的向卫星发送报文，</w:t>
            </w:r>
          </w:p>
          <w:p w14:paraId="0849EDD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1：开启，VDES终端每15分钟只允许通过随机信道向卫星发送3条报文</w:t>
            </w:r>
          </w:p>
        </w:tc>
        <w:tc>
          <w:tcPr>
            <w:tcW w:w="1606" w:type="dxa"/>
          </w:tcPr>
          <w:p w14:paraId="18F0F16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 w14:paraId="70843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3DE536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073" w:type="dxa"/>
          </w:tcPr>
          <w:p w14:paraId="668ECCC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VDES接收AGC使能</w:t>
            </w:r>
          </w:p>
        </w:tc>
        <w:tc>
          <w:tcPr>
            <w:tcW w:w="1063" w:type="dxa"/>
          </w:tcPr>
          <w:p w14:paraId="353C578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1EE5EB37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4B1593E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0：关闭：使用固定AD9361接收增益</w:t>
            </w:r>
          </w:p>
          <w:p w14:paraId="700FB1C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1：开启：根据接收信号强度动态调整AD9361接收增益</w:t>
            </w:r>
          </w:p>
        </w:tc>
        <w:tc>
          <w:tcPr>
            <w:tcW w:w="1606" w:type="dxa"/>
          </w:tcPr>
          <w:p w14:paraId="4933091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 w14:paraId="74DEA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DA931E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073" w:type="dxa"/>
          </w:tcPr>
          <w:p w14:paraId="7754F87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星地延时补偿使能</w:t>
            </w:r>
          </w:p>
        </w:tc>
        <w:tc>
          <w:tcPr>
            <w:tcW w:w="1063" w:type="dxa"/>
          </w:tcPr>
          <w:p w14:paraId="5C984C2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5140FCD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2BAFA10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0：关闭，1：开启，根据计算得到的卫星到终端的下行信号延迟，提前发送上行信号，补偿星地延时</w:t>
            </w:r>
          </w:p>
        </w:tc>
        <w:tc>
          <w:tcPr>
            <w:tcW w:w="1606" w:type="dxa"/>
          </w:tcPr>
          <w:p w14:paraId="6579B33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 w14:paraId="79B48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831B93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073" w:type="dxa"/>
          </w:tcPr>
          <w:p w14:paraId="0596B54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船站MMSI</w:t>
            </w:r>
          </w:p>
        </w:tc>
        <w:tc>
          <w:tcPr>
            <w:tcW w:w="1063" w:type="dxa"/>
          </w:tcPr>
          <w:p w14:paraId="4295360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57C697F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5FDF97C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VDES终端船站使用的MMSI号码</w:t>
            </w:r>
          </w:p>
        </w:tc>
        <w:tc>
          <w:tcPr>
            <w:tcW w:w="1606" w:type="dxa"/>
          </w:tcPr>
          <w:p w14:paraId="094549D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 w14:paraId="01A89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51B24F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073" w:type="dxa"/>
          </w:tcPr>
          <w:p w14:paraId="4EA81BF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默认发射LINKID</w:t>
            </w:r>
          </w:p>
        </w:tc>
        <w:tc>
          <w:tcPr>
            <w:tcW w:w="1063" w:type="dxa"/>
          </w:tcPr>
          <w:p w14:paraId="312FD6C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4A8542D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29166B2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DC信道默认使用的发射LINkID（20、21、22、24）</w:t>
            </w:r>
          </w:p>
        </w:tc>
        <w:tc>
          <w:tcPr>
            <w:tcW w:w="1606" w:type="dxa"/>
          </w:tcPr>
          <w:p w14:paraId="69A599A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 w14:paraId="02A57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9AA6E0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073" w:type="dxa"/>
          </w:tcPr>
          <w:p w14:paraId="3789A06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默认发射信道</w:t>
            </w:r>
          </w:p>
        </w:tc>
        <w:tc>
          <w:tcPr>
            <w:tcW w:w="1063" w:type="dxa"/>
          </w:tcPr>
          <w:p w14:paraId="34C10CC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4FE8121C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3E2E412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未收到卫星资源分配时，默认的物理发射信道（0~6）</w:t>
            </w:r>
          </w:p>
          <w:p w14:paraId="6BA7115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0：VDES-A：157312500HZ</w:t>
            </w:r>
          </w:p>
          <w:p w14:paraId="3976964C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1：VDES-B：161912500HZ</w:t>
            </w:r>
          </w:p>
          <w:p w14:paraId="2BF256F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2：VDES-C：157262500HZ</w:t>
            </w:r>
          </w:p>
          <w:p w14:paraId="36DD52F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3：VDES-D：161862500HZ</w:t>
            </w:r>
          </w:p>
          <w:p w14:paraId="2F98CB54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4：VDES-E：157212500HZ</w:t>
            </w:r>
          </w:p>
          <w:p w14:paraId="1873831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5：VDES-F：161812500HZ</w:t>
            </w:r>
          </w:p>
          <w:p w14:paraId="7D2E8F0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6：卫星分配</w:t>
            </w:r>
          </w:p>
        </w:tc>
        <w:tc>
          <w:tcPr>
            <w:tcW w:w="1606" w:type="dxa"/>
          </w:tcPr>
          <w:p w14:paraId="42B9929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 w14:paraId="0C68E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4CCB74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073" w:type="dxa"/>
          </w:tcPr>
          <w:p w14:paraId="34F09F9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默认发射频点</w:t>
            </w:r>
          </w:p>
        </w:tc>
        <w:tc>
          <w:tcPr>
            <w:tcW w:w="1063" w:type="dxa"/>
          </w:tcPr>
          <w:p w14:paraId="01AF7CB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38898A3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0CF2827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VDES默认使用的发射频点，正常情况下与默认发射信道对应（157206500 ~ 161918500）HZ</w:t>
            </w:r>
          </w:p>
        </w:tc>
        <w:tc>
          <w:tcPr>
            <w:tcW w:w="1606" w:type="dxa"/>
          </w:tcPr>
          <w:p w14:paraId="2DF5DF1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 w14:paraId="20C2B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8EA863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073" w:type="dxa"/>
          </w:tcPr>
          <w:p w14:paraId="7E25DDB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发射时延</w:t>
            </w:r>
          </w:p>
        </w:tc>
        <w:tc>
          <w:tcPr>
            <w:tcW w:w="1063" w:type="dxa"/>
          </w:tcPr>
          <w:p w14:paraId="12E8EF6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678BF079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09" w:type="dxa"/>
          </w:tcPr>
          <w:p w14:paraId="7137204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小于0表示发射时间提前，大于0表示发射时间滞后，（-26667~26667）us</w:t>
            </w:r>
          </w:p>
        </w:tc>
        <w:tc>
          <w:tcPr>
            <w:tcW w:w="1606" w:type="dxa"/>
          </w:tcPr>
          <w:p w14:paraId="7978220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 w14:paraId="0B47C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7CA66A8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073" w:type="dxa"/>
          </w:tcPr>
          <w:p w14:paraId="4D2C7C5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发射功率衰减</w:t>
            </w:r>
          </w:p>
        </w:tc>
        <w:tc>
          <w:tcPr>
            <w:tcW w:w="1063" w:type="dxa"/>
          </w:tcPr>
          <w:p w14:paraId="037118A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4D3F21D5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4D2C5C3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VDES发射功率额外衰减（0~89）dB</w:t>
            </w:r>
          </w:p>
        </w:tc>
        <w:tc>
          <w:tcPr>
            <w:tcW w:w="1606" w:type="dxa"/>
          </w:tcPr>
          <w:p w14:paraId="4AF2E90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 w14:paraId="2D349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29C5FF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073" w:type="dxa"/>
          </w:tcPr>
          <w:p w14:paraId="7CBB19E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解调器1接收LINKID</w:t>
            </w:r>
          </w:p>
        </w:tc>
        <w:tc>
          <w:tcPr>
            <w:tcW w:w="1063" w:type="dxa"/>
          </w:tcPr>
          <w:p w14:paraId="3959DF4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4C86448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2687028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VDES解调器1使用的接收LINkID（25，26，27，28，29，32，33，34）</w:t>
            </w:r>
          </w:p>
        </w:tc>
        <w:tc>
          <w:tcPr>
            <w:tcW w:w="1606" w:type="dxa"/>
          </w:tcPr>
          <w:p w14:paraId="388B47D9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 w14:paraId="45838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1FC642F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073" w:type="dxa"/>
          </w:tcPr>
          <w:p w14:paraId="6D38ED6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解调器1接收信道</w:t>
            </w:r>
          </w:p>
        </w:tc>
        <w:tc>
          <w:tcPr>
            <w:tcW w:w="1063" w:type="dxa"/>
          </w:tcPr>
          <w:p w14:paraId="2C39665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7A987E7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422AA3A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VDES解调器1使用的物理接收信道（0~6）</w:t>
            </w:r>
          </w:p>
          <w:p w14:paraId="04B5A2E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0：VDES-A：161912500HZ</w:t>
            </w:r>
          </w:p>
          <w:p w14:paraId="2B4E394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1：VDES-B：157312500HZ</w:t>
            </w:r>
          </w:p>
          <w:p w14:paraId="2857CF74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2：VDES-C：161837500HZ</w:t>
            </w:r>
          </w:p>
          <w:p w14:paraId="4173891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3：VDES-D：157237500HZ</w:t>
            </w:r>
          </w:p>
          <w:p w14:paraId="196EC92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4：VDES-E：161862500HZ</w:t>
            </w:r>
          </w:p>
          <w:p w14:paraId="57B14B0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5：VDES-F：157262500HZ</w:t>
            </w:r>
          </w:p>
          <w:p w14:paraId="4FA452E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6：卫星分配</w:t>
            </w:r>
          </w:p>
        </w:tc>
        <w:tc>
          <w:tcPr>
            <w:tcW w:w="1606" w:type="dxa"/>
          </w:tcPr>
          <w:p w14:paraId="4212A42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 w14:paraId="437DA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786F899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073" w:type="dxa"/>
          </w:tcPr>
          <w:p w14:paraId="68D8BE9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解调器1接收频点</w:t>
            </w:r>
          </w:p>
        </w:tc>
        <w:tc>
          <w:tcPr>
            <w:tcW w:w="1063" w:type="dxa"/>
          </w:tcPr>
          <w:p w14:paraId="425934E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4136282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 w14:paraId="5DF145B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VDES解调器1使用的发射频点，正常情况下与接收信道对应（157206500 ~ 161918500）HZ</w:t>
            </w:r>
          </w:p>
        </w:tc>
        <w:tc>
          <w:tcPr>
            <w:tcW w:w="1606" w:type="dxa"/>
          </w:tcPr>
          <w:p w14:paraId="771A467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 w14:paraId="1F863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2A239B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073" w:type="dxa"/>
          </w:tcPr>
          <w:p w14:paraId="14D4F98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接收延迟</w:t>
            </w:r>
          </w:p>
        </w:tc>
        <w:tc>
          <w:tcPr>
            <w:tcW w:w="1063" w:type="dxa"/>
          </w:tcPr>
          <w:p w14:paraId="5D26679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01EE5434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09" w:type="dxa"/>
          </w:tcPr>
          <w:p w14:paraId="0A3C513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小于0表示接收时间提前，大于0表示接收时间滞后，（-26667~26667）us</w:t>
            </w:r>
          </w:p>
        </w:tc>
        <w:tc>
          <w:tcPr>
            <w:tcW w:w="1606" w:type="dxa"/>
          </w:tcPr>
          <w:p w14:paraId="1644D7F7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 w14:paraId="5FBBC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16E4BFE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073" w:type="dxa"/>
          </w:tcPr>
          <w:p w14:paraId="7B847D6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接收增益</w:t>
            </w:r>
          </w:p>
        </w:tc>
        <w:tc>
          <w:tcPr>
            <w:tcW w:w="1063" w:type="dxa"/>
          </w:tcPr>
          <w:p w14:paraId="312D37B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2D22EA65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6FFA269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VDES接收增益（0~76）dB</w:t>
            </w:r>
          </w:p>
        </w:tc>
        <w:tc>
          <w:tcPr>
            <w:tcW w:w="1606" w:type="dxa"/>
          </w:tcPr>
          <w:p w14:paraId="11DF2457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 w14:paraId="478D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E23D47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2073" w:type="dxa"/>
          </w:tcPr>
          <w:p w14:paraId="2DE0E95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清除VDES上行数据缓存区1任务</w:t>
            </w:r>
          </w:p>
        </w:tc>
        <w:tc>
          <w:tcPr>
            <w:tcW w:w="1063" w:type="dxa"/>
          </w:tcPr>
          <w:p w14:paraId="2EF9C25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50F15BD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33EBA97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0：不清除，1：清除缓存区1的数据。未与卫星建立连接时，缓存区会一直处于占用或尝试续传状态，可以通过该字段手动清除数据（数据成功发送后，会在20秒后自动清除缓存区）</w:t>
            </w:r>
          </w:p>
        </w:tc>
        <w:tc>
          <w:tcPr>
            <w:tcW w:w="1606" w:type="dxa"/>
          </w:tcPr>
          <w:p w14:paraId="1FA0876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用户界面，以按钮形式显示</w:t>
            </w:r>
          </w:p>
        </w:tc>
      </w:tr>
      <w:tr w14:paraId="4636C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D74C02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073" w:type="dxa"/>
          </w:tcPr>
          <w:p w14:paraId="310F5AA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清除VDES上行数据缓存区2任务</w:t>
            </w:r>
          </w:p>
        </w:tc>
        <w:tc>
          <w:tcPr>
            <w:tcW w:w="1063" w:type="dxa"/>
          </w:tcPr>
          <w:p w14:paraId="6DBC709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59182499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 w14:paraId="3DBDCCD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0：不清除，1：清除清除缓存区2的数据</w:t>
            </w:r>
          </w:p>
        </w:tc>
        <w:tc>
          <w:tcPr>
            <w:tcW w:w="1606" w:type="dxa"/>
          </w:tcPr>
          <w:p w14:paraId="1251858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用户界面，以按钮形式显示</w:t>
            </w:r>
          </w:p>
        </w:tc>
      </w:tr>
    </w:tbl>
    <w:p w14:paraId="3781EE21">
      <w:pPr>
        <w:bidi w:val="0"/>
        <w:rPr>
          <w:rFonts w:hint="eastAsia"/>
          <w:lang w:val="en-US" w:eastAsia="zh-CN"/>
        </w:rPr>
      </w:pPr>
    </w:p>
    <w:p w14:paraId="5EE017B2"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表14、</w:t>
      </w:r>
      <w:r>
        <w:rPr>
          <w:rFonts w:hint="eastAsia"/>
          <w:vertAlign w:val="baseline"/>
          <w:lang w:val="en-US" w:eastAsia="zh-CN"/>
        </w:rPr>
        <w:t>VDES上注数据报文内容定义</w:t>
      </w:r>
    </w:p>
    <w:p w14:paraId="3E0911B0"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根据VDES上注数据报文的“字段1：数据类型”的值不同，VDES上注数据报文内容有不同的格式定义</w:t>
      </w:r>
    </w:p>
    <w:p w14:paraId="715F3432"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上注长数据时需要按照（数据类型0：长数据发送参数）-&gt;（数据类型1：长数据有效数据内容）-&gt;（数据类型2：长数据上注结束通知）的顺序发送报文。</w:t>
      </w:r>
    </w:p>
    <w:p w14:paraId="4A41FFEB"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VDES终端将收到的长数据保存在缓存区中，收到“数据类型2：长数据上注结束通知”报文后，激活发送缓存区数据任务，开始自动尝试与卫星建立连接并上传数据。</w:t>
      </w:r>
    </w:p>
    <w:p w14:paraId="10B8AFB5">
      <w:pPr>
        <w:rPr>
          <w:rFonts w:hint="default"/>
          <w:vertAlign w:val="baseline"/>
          <w:lang w:val="en-US" w:eastAsia="zh-CN"/>
        </w:rPr>
      </w:pPr>
    </w:p>
    <w:tbl>
      <w:tblPr>
        <w:tblStyle w:val="5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059"/>
        <w:gridCol w:w="1063"/>
        <w:gridCol w:w="1064"/>
        <w:gridCol w:w="3395"/>
        <w:gridCol w:w="1400"/>
      </w:tblGrid>
      <w:tr w14:paraId="7BC13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6" w:type="dxa"/>
          </w:tcPr>
          <w:p w14:paraId="200A70A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59" w:type="dxa"/>
          </w:tcPr>
          <w:p w14:paraId="13DE111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63" w:type="dxa"/>
          </w:tcPr>
          <w:p w14:paraId="3145246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 w14:paraId="5DF59955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 w14:paraId="43A5BF0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 w14:paraId="04105D4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 w14:paraId="3FF81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 w14:paraId="7E88C86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59" w:type="dxa"/>
          </w:tcPr>
          <w:p w14:paraId="65109E7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063" w:type="dxa"/>
          </w:tcPr>
          <w:p w14:paraId="63FE296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4A93646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 w14:paraId="114AE8A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0：长数据发送参数</w:t>
            </w:r>
          </w:p>
        </w:tc>
        <w:tc>
          <w:tcPr>
            <w:tcW w:w="1400" w:type="dxa"/>
          </w:tcPr>
          <w:p w14:paraId="277B857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不显示，用户使用发送数据功能时，在后台自动发送该报文</w:t>
            </w:r>
          </w:p>
        </w:tc>
      </w:tr>
      <w:tr w14:paraId="6F7DA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 w14:paraId="731F3FA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59" w:type="dxa"/>
          </w:tcPr>
          <w:p w14:paraId="32A95C3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目标船站MMSI</w:t>
            </w:r>
          </w:p>
        </w:tc>
        <w:tc>
          <w:tcPr>
            <w:tcW w:w="1063" w:type="dxa"/>
          </w:tcPr>
          <w:p w14:paraId="092A727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62D6A4A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 w14:paraId="773E73B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数据发送目标船站的MMSI，等于0时表示需要卫星广播上注的数据</w:t>
            </w:r>
          </w:p>
        </w:tc>
        <w:tc>
          <w:tcPr>
            <w:tcW w:w="1400" w:type="dxa"/>
          </w:tcPr>
          <w:p w14:paraId="4A5A4A4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 w14:paraId="7517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 w14:paraId="02940E5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59" w:type="dxa"/>
          </w:tcPr>
          <w:p w14:paraId="5BABC19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优先级</w:t>
            </w:r>
          </w:p>
        </w:tc>
        <w:tc>
          <w:tcPr>
            <w:tcW w:w="1063" w:type="dxa"/>
          </w:tcPr>
          <w:p w14:paraId="7BE33C2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2B3E79D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 w14:paraId="2E3EFD9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VDES卫星资源请求优先级（0~15）数值越大优先级越高</w:t>
            </w:r>
          </w:p>
        </w:tc>
        <w:tc>
          <w:tcPr>
            <w:tcW w:w="1400" w:type="dxa"/>
          </w:tcPr>
          <w:p w14:paraId="4F3AB245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 w14:paraId="45CD033E">
      <w:pPr>
        <w:rPr>
          <w:rFonts w:hint="eastAsia"/>
          <w:vertAlign w:val="baseline"/>
          <w:lang w:val="en-US" w:eastAsia="zh-CN"/>
        </w:rPr>
      </w:pPr>
    </w:p>
    <w:p w14:paraId="300B5C5D">
      <w:pPr>
        <w:rPr>
          <w:rFonts w:hint="eastAsia"/>
          <w:vertAlign w:val="baseline"/>
          <w:lang w:val="en-US" w:eastAsia="zh-CN"/>
        </w:rPr>
      </w:pPr>
    </w:p>
    <w:tbl>
      <w:tblPr>
        <w:tblStyle w:val="5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2005"/>
        <w:gridCol w:w="1091"/>
        <w:gridCol w:w="1077"/>
        <w:gridCol w:w="3395"/>
        <w:gridCol w:w="1400"/>
      </w:tblGrid>
      <w:tr w14:paraId="63E4A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29" w:type="dxa"/>
          </w:tcPr>
          <w:p w14:paraId="38DE481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05" w:type="dxa"/>
          </w:tcPr>
          <w:p w14:paraId="74390E7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91" w:type="dxa"/>
          </w:tcPr>
          <w:p w14:paraId="336B786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77" w:type="dxa"/>
          </w:tcPr>
          <w:p w14:paraId="3C10D7F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 w14:paraId="292C218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 w14:paraId="70812F8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 w14:paraId="4A75E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29" w:type="dxa"/>
          </w:tcPr>
          <w:p w14:paraId="71DB53F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05" w:type="dxa"/>
          </w:tcPr>
          <w:p w14:paraId="3484B82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091" w:type="dxa"/>
          </w:tcPr>
          <w:p w14:paraId="725169F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77" w:type="dxa"/>
          </w:tcPr>
          <w:p w14:paraId="730EB159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 w14:paraId="6325DE6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1：长数据有效数据内容</w:t>
            </w:r>
          </w:p>
        </w:tc>
        <w:tc>
          <w:tcPr>
            <w:tcW w:w="1400" w:type="dxa"/>
          </w:tcPr>
          <w:p w14:paraId="5A3BD32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 w14:paraId="6FE6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29" w:type="dxa"/>
          </w:tcPr>
          <w:p w14:paraId="7477512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05" w:type="dxa"/>
          </w:tcPr>
          <w:p w14:paraId="17F9E58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有效数据</w:t>
            </w:r>
          </w:p>
        </w:tc>
        <w:tc>
          <w:tcPr>
            <w:tcW w:w="1091" w:type="dxa"/>
          </w:tcPr>
          <w:p w14:paraId="19F79960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n（0~32755）</w:t>
            </w:r>
          </w:p>
        </w:tc>
        <w:tc>
          <w:tcPr>
            <w:tcW w:w="1077" w:type="dxa"/>
          </w:tcPr>
          <w:p w14:paraId="3BE6A1B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 w14:paraId="6008F51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准备发送的长数据有效数据内容，字节数由报文长度字段定义。</w:t>
            </w:r>
          </w:p>
          <w:p w14:paraId="3B2DB1C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有效性数据可以分成多个TCP报文，按顺序上注至VDES终端。单条报文有效数据最多32755字节，总有效数据长度最多256KB。</w:t>
            </w:r>
          </w:p>
        </w:tc>
        <w:tc>
          <w:tcPr>
            <w:tcW w:w="1400" w:type="dxa"/>
          </w:tcPr>
          <w:p w14:paraId="07BAFB65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 w14:paraId="4F8E9F3E">
      <w:pPr>
        <w:rPr>
          <w:rFonts w:hint="eastAsia"/>
          <w:vertAlign w:val="baseline"/>
          <w:lang w:val="en-US" w:eastAsia="zh-CN"/>
        </w:rPr>
      </w:pPr>
      <w:bookmarkStart w:id="17" w:name="OLE_LINK18"/>
    </w:p>
    <w:p w14:paraId="296E9A81">
      <w:pPr>
        <w:rPr>
          <w:rFonts w:hint="eastAsia"/>
          <w:vertAlign w:val="baseline"/>
          <w:lang w:val="en-US" w:eastAsia="zh-CN"/>
        </w:rPr>
      </w:pPr>
    </w:p>
    <w:bookmarkEnd w:id="17"/>
    <w:tbl>
      <w:tblPr>
        <w:tblStyle w:val="5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400"/>
      </w:tblGrid>
      <w:tr w14:paraId="60780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29" w:type="dxa"/>
          </w:tcPr>
          <w:p w14:paraId="03662B6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 w14:paraId="2F5CC78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 w14:paraId="4BD0C1E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 w14:paraId="734676A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 w14:paraId="2E3F220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 w14:paraId="4FB660C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 w14:paraId="7B637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29" w:type="dxa"/>
          </w:tcPr>
          <w:p w14:paraId="6DB6261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 w14:paraId="3B70EE4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 w14:paraId="65E9ABE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401BB63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 w14:paraId="31B7635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2：长数据上注结束通知</w:t>
            </w:r>
          </w:p>
        </w:tc>
        <w:tc>
          <w:tcPr>
            <w:tcW w:w="1400" w:type="dxa"/>
          </w:tcPr>
          <w:p w14:paraId="185B7617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 w14:paraId="79D55932">
      <w:pPr>
        <w:rPr>
          <w:rFonts w:hint="eastAsia"/>
          <w:vertAlign w:val="baseline"/>
          <w:lang w:val="en-US" w:eastAsia="zh-CN"/>
        </w:rPr>
      </w:pPr>
    </w:p>
    <w:p w14:paraId="3DF8ABF0"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VDES终端将收到“数据类型3：短消息”报文后，将把短消息缓存在短消息缓存区中，并在20秒内向卫星发送该短消息。</w:t>
      </w:r>
    </w:p>
    <w:p w14:paraId="15A90E5B"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短消息缓存区可容纳16条短消息（缓存区数量可修改）</w:t>
      </w:r>
    </w:p>
    <w:tbl>
      <w:tblPr>
        <w:tblStyle w:val="5"/>
        <w:tblW w:w="9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441"/>
      </w:tblGrid>
      <w:tr w14:paraId="4F9FA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29" w:type="dxa"/>
          </w:tcPr>
          <w:p w14:paraId="6DFBFD2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 w14:paraId="732DBD0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 w14:paraId="0A5E784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 w14:paraId="18F6DDD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 w14:paraId="5B7BB82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41" w:type="dxa"/>
          </w:tcPr>
          <w:p w14:paraId="60AF9F5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 w14:paraId="384C0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29" w:type="dxa"/>
          </w:tcPr>
          <w:p w14:paraId="5F78587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 w14:paraId="7F1F041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 w14:paraId="007E2C5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34D4F1B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 w14:paraId="529D454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3：短消息</w:t>
            </w:r>
          </w:p>
        </w:tc>
        <w:tc>
          <w:tcPr>
            <w:tcW w:w="1441" w:type="dxa"/>
          </w:tcPr>
          <w:p w14:paraId="054D637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不显示，用户使用短消息发送功能时，在后台自动发送该报文</w:t>
            </w:r>
          </w:p>
        </w:tc>
      </w:tr>
      <w:tr w14:paraId="335CC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29" w:type="dxa"/>
          </w:tcPr>
          <w:p w14:paraId="20CB339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991" w:type="dxa"/>
          </w:tcPr>
          <w:p w14:paraId="63062EB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短消息类型</w:t>
            </w:r>
          </w:p>
        </w:tc>
        <w:tc>
          <w:tcPr>
            <w:tcW w:w="1118" w:type="dxa"/>
          </w:tcPr>
          <w:p w14:paraId="3D88A74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7DE31D0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 w14:paraId="0362A29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VDES上行短消息类型（33：有ACK；23：无ACK；24、25、26、27、28：无目标无ACK）</w:t>
            </w:r>
          </w:p>
        </w:tc>
        <w:tc>
          <w:tcPr>
            <w:tcW w:w="1441" w:type="dxa"/>
          </w:tcPr>
          <w:p w14:paraId="7F4DF40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 w14:paraId="2E5DE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29" w:type="dxa"/>
          </w:tcPr>
          <w:p w14:paraId="680764B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991" w:type="dxa"/>
          </w:tcPr>
          <w:p w14:paraId="6FE75AB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目标船站MMSI</w:t>
            </w:r>
          </w:p>
        </w:tc>
        <w:tc>
          <w:tcPr>
            <w:tcW w:w="1118" w:type="dxa"/>
          </w:tcPr>
          <w:p w14:paraId="195468C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 w14:paraId="359C81F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 w14:paraId="3BC9D91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短消息目标船站MMSI，等于0时表示短消息无发送目标船站，卫星接收到短消息后不转发</w:t>
            </w:r>
          </w:p>
        </w:tc>
        <w:tc>
          <w:tcPr>
            <w:tcW w:w="1441" w:type="dxa"/>
          </w:tcPr>
          <w:p w14:paraId="3C8391E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 w14:paraId="098F7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29" w:type="dxa"/>
          </w:tcPr>
          <w:p w14:paraId="03C13A7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991" w:type="dxa"/>
          </w:tcPr>
          <w:p w14:paraId="3A7D836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短消息有效数据</w:t>
            </w:r>
          </w:p>
        </w:tc>
        <w:tc>
          <w:tcPr>
            <w:tcW w:w="1118" w:type="dxa"/>
          </w:tcPr>
          <w:p w14:paraId="42E7A55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（0~5）</w:t>
            </w:r>
          </w:p>
        </w:tc>
        <w:tc>
          <w:tcPr>
            <w:tcW w:w="1064" w:type="dxa"/>
          </w:tcPr>
          <w:p w14:paraId="2DD0201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 w14:paraId="1ABA32E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消息有效性内容，字节长度由报文长度字段定义。短消息类型为33，23时，最长1字节，短消息类型为24、25、26、27、28时最长4字节</w:t>
            </w:r>
          </w:p>
        </w:tc>
        <w:tc>
          <w:tcPr>
            <w:tcW w:w="1441" w:type="dxa"/>
          </w:tcPr>
          <w:p w14:paraId="045C1E2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 w14:paraId="5EFD0878">
      <w:pPr>
        <w:rPr>
          <w:rFonts w:hint="default"/>
          <w:vertAlign w:val="baseline"/>
          <w:lang w:val="en-US" w:eastAsia="zh-CN"/>
        </w:rPr>
      </w:pPr>
    </w:p>
    <w:tbl>
      <w:tblPr>
        <w:tblStyle w:val="5"/>
        <w:tblW w:w="9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580"/>
      </w:tblGrid>
      <w:tr w14:paraId="0A383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729" w:type="dxa"/>
          </w:tcPr>
          <w:p w14:paraId="65C00C1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 w14:paraId="7B1A282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 w14:paraId="7A0C29F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 w14:paraId="66EC1784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 w14:paraId="24B8100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580" w:type="dxa"/>
          </w:tcPr>
          <w:p w14:paraId="648CCE1A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 w14:paraId="4DFD5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729" w:type="dxa"/>
          </w:tcPr>
          <w:p w14:paraId="59C8DB3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 w14:paraId="3A75E02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 w14:paraId="6A7D766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 w14:paraId="6F96491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 w14:paraId="410841F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4：应急短消息，命令VDES终端通过上行应急短消息报文，广播船只类型、故障类型、经纬度信息，向卫星发送求救信号（无需用户填写数据内容）</w:t>
            </w:r>
          </w:p>
        </w:tc>
        <w:tc>
          <w:tcPr>
            <w:tcW w:w="1580" w:type="dxa"/>
          </w:tcPr>
          <w:p w14:paraId="70D439C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不显示，用户开启求救功能时，在后台定时发送该报文</w:t>
            </w:r>
          </w:p>
        </w:tc>
      </w:tr>
    </w:tbl>
    <w:p w14:paraId="64EB9D48">
      <w:pPr>
        <w:bidi w:val="0"/>
        <w:rPr>
          <w:rFonts w:hint="eastAsia"/>
          <w:lang w:val="en-US" w:eastAsia="zh-CN"/>
        </w:rPr>
      </w:pPr>
    </w:p>
    <w:p w14:paraId="7F62D0D3"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表15、</w:t>
      </w:r>
      <w:r>
        <w:rPr>
          <w:rFonts w:hint="eastAsia"/>
          <w:vertAlign w:val="baseline"/>
          <w:lang w:val="en-US" w:eastAsia="zh-CN"/>
        </w:rPr>
        <w:t>VDSE采集波形报文内容定义</w:t>
      </w:r>
    </w:p>
    <w:tbl>
      <w:tblPr>
        <w:tblStyle w:val="5"/>
        <w:tblW w:w="9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09"/>
        <w:gridCol w:w="1159"/>
        <w:gridCol w:w="3313"/>
        <w:gridCol w:w="1059"/>
      </w:tblGrid>
      <w:tr w14:paraId="170E4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47" w:type="dxa"/>
          </w:tcPr>
          <w:p w14:paraId="4CE3631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 w14:paraId="072D419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09" w:type="dxa"/>
          </w:tcPr>
          <w:p w14:paraId="234FB3C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 w14:paraId="29A4F0C7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13" w:type="dxa"/>
          </w:tcPr>
          <w:p w14:paraId="022A37A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059" w:type="dxa"/>
          </w:tcPr>
          <w:p w14:paraId="3C8B10C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 w14:paraId="6DE6F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47" w:type="dxa"/>
          </w:tcPr>
          <w:p w14:paraId="686D202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 w14:paraId="42DF29B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波形数据</w:t>
            </w:r>
          </w:p>
        </w:tc>
        <w:tc>
          <w:tcPr>
            <w:tcW w:w="1309" w:type="dxa"/>
          </w:tcPr>
          <w:p w14:paraId="3E61238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3584</w:t>
            </w:r>
          </w:p>
        </w:tc>
        <w:tc>
          <w:tcPr>
            <w:tcW w:w="1159" w:type="dxa"/>
          </w:tcPr>
          <w:p w14:paraId="7D88BC19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 w14:paraId="22E78D2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VDES地检采集到的解调器1波形</w:t>
            </w:r>
          </w:p>
        </w:tc>
        <w:tc>
          <w:tcPr>
            <w:tcW w:w="1059" w:type="dxa"/>
          </w:tcPr>
          <w:p w14:paraId="2769FBA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</w:t>
            </w:r>
          </w:p>
        </w:tc>
      </w:tr>
    </w:tbl>
    <w:p w14:paraId="6C4AC539">
      <w:pPr>
        <w:bidi w:val="0"/>
        <w:rPr>
          <w:rFonts w:hint="eastAsia"/>
          <w:lang w:val="en-US" w:eastAsia="zh-CN"/>
        </w:rPr>
      </w:pPr>
    </w:p>
    <w:p w14:paraId="001EC915">
      <w:pPr>
        <w:bidi w:val="0"/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表16、</w:t>
      </w:r>
      <w:r>
        <w:rPr>
          <w:rFonts w:hint="eastAsia"/>
          <w:vertAlign w:val="baseline"/>
          <w:lang w:val="en-US" w:eastAsia="zh-CN"/>
        </w:rPr>
        <w:t>VDES/AIS解调数据报文内容定义</w:t>
      </w:r>
    </w:p>
    <w:tbl>
      <w:tblPr>
        <w:tblStyle w:val="5"/>
        <w:tblW w:w="9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09"/>
        <w:gridCol w:w="1159"/>
        <w:gridCol w:w="3313"/>
        <w:gridCol w:w="1120"/>
      </w:tblGrid>
      <w:tr w14:paraId="469FA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 w14:paraId="47F68C2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 w14:paraId="33A4F25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09" w:type="dxa"/>
          </w:tcPr>
          <w:p w14:paraId="2D950F7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 w14:paraId="6828F4C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13" w:type="dxa"/>
          </w:tcPr>
          <w:p w14:paraId="740F5B7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120" w:type="dxa"/>
          </w:tcPr>
          <w:p w14:paraId="7EA5F9F2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 w14:paraId="11473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 w14:paraId="6716BE2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 w14:paraId="662BBF9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消息类型</w:t>
            </w:r>
          </w:p>
        </w:tc>
        <w:tc>
          <w:tcPr>
            <w:tcW w:w="1309" w:type="dxa"/>
          </w:tcPr>
          <w:p w14:paraId="178DBE5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 w14:paraId="34DC1A6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 w14:paraId="7693F9A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固定填12</w:t>
            </w:r>
          </w:p>
        </w:tc>
        <w:tc>
          <w:tcPr>
            <w:tcW w:w="1120" w:type="dxa"/>
          </w:tcPr>
          <w:p w14:paraId="2B12814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 w14:paraId="06032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 w14:paraId="68107CD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28" w:type="dxa"/>
          </w:tcPr>
          <w:p w14:paraId="56181E3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卫星ID</w:t>
            </w:r>
          </w:p>
        </w:tc>
        <w:tc>
          <w:tcPr>
            <w:tcW w:w="1309" w:type="dxa"/>
          </w:tcPr>
          <w:p w14:paraId="18BBEB1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 w14:paraId="240F48B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 w14:paraId="0C2DC48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解调数据来源的卫星ID</w:t>
            </w:r>
          </w:p>
        </w:tc>
        <w:tc>
          <w:tcPr>
            <w:tcW w:w="1120" w:type="dxa"/>
          </w:tcPr>
          <w:p w14:paraId="3C5BA1C4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 w14:paraId="012E9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647" w:type="dxa"/>
          </w:tcPr>
          <w:p w14:paraId="7F40603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28" w:type="dxa"/>
          </w:tcPr>
          <w:p w14:paraId="50DD149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解调器编号</w:t>
            </w:r>
          </w:p>
        </w:tc>
        <w:tc>
          <w:tcPr>
            <w:tcW w:w="1309" w:type="dxa"/>
          </w:tcPr>
          <w:p w14:paraId="13EF1FF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 w14:paraId="269CC77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 w14:paraId="7EE0C56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0：VDES解调器1</w:t>
            </w:r>
          </w:p>
          <w:p w14:paraId="7D9544B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1：VDES解调器2</w:t>
            </w:r>
          </w:p>
          <w:p w14:paraId="17AFDBB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2：VDES解调器3</w:t>
            </w:r>
          </w:p>
          <w:p w14:paraId="6C160AF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3：VDES解调器4</w:t>
            </w:r>
          </w:p>
          <w:p w14:paraId="17D6106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4：AIS解调器1</w:t>
            </w:r>
          </w:p>
          <w:p w14:paraId="0036A3D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5：AIS解调器2</w:t>
            </w:r>
          </w:p>
        </w:tc>
        <w:tc>
          <w:tcPr>
            <w:tcW w:w="1120" w:type="dxa"/>
          </w:tcPr>
          <w:p w14:paraId="08154506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 w14:paraId="388B2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7" w:type="dxa"/>
          </w:tcPr>
          <w:p w14:paraId="0828A8A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28" w:type="dxa"/>
          </w:tcPr>
          <w:p w14:paraId="751EC27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解调时隙</w:t>
            </w:r>
          </w:p>
        </w:tc>
        <w:tc>
          <w:tcPr>
            <w:tcW w:w="1309" w:type="dxa"/>
          </w:tcPr>
          <w:p w14:paraId="14E4D8F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 w14:paraId="2BFEFF8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313" w:type="dxa"/>
          </w:tcPr>
          <w:p w14:paraId="18BA326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解调数据对应接收波形的开始时隙</w:t>
            </w:r>
          </w:p>
        </w:tc>
        <w:tc>
          <w:tcPr>
            <w:tcW w:w="1120" w:type="dxa"/>
          </w:tcPr>
          <w:p w14:paraId="2209E975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 w14:paraId="3CCB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7" w:type="dxa"/>
          </w:tcPr>
          <w:p w14:paraId="4519F29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28" w:type="dxa"/>
          </w:tcPr>
          <w:p w14:paraId="1467BFC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接收延迟</w:t>
            </w:r>
          </w:p>
        </w:tc>
        <w:tc>
          <w:tcPr>
            <w:tcW w:w="1309" w:type="dxa"/>
          </w:tcPr>
          <w:p w14:paraId="6D44A13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 w14:paraId="1C344A27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313" w:type="dxa"/>
          </w:tcPr>
          <w:p w14:paraId="053827C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信号相对于时隙开始时间的延迟，单位us</w:t>
            </w:r>
          </w:p>
        </w:tc>
        <w:tc>
          <w:tcPr>
            <w:tcW w:w="1120" w:type="dxa"/>
          </w:tcPr>
          <w:p w14:paraId="773FB16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 w14:paraId="46888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47" w:type="dxa"/>
          </w:tcPr>
          <w:p w14:paraId="07DD4342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28" w:type="dxa"/>
          </w:tcPr>
          <w:p w14:paraId="3BC0D93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信噪比</w:t>
            </w:r>
          </w:p>
        </w:tc>
        <w:tc>
          <w:tcPr>
            <w:tcW w:w="1309" w:type="dxa"/>
          </w:tcPr>
          <w:p w14:paraId="70061BAA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 w14:paraId="2E276FE9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Int16</w:t>
            </w:r>
          </w:p>
        </w:tc>
        <w:tc>
          <w:tcPr>
            <w:tcW w:w="3313" w:type="dxa"/>
          </w:tcPr>
          <w:p w14:paraId="4B9DA28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信号信噪比，单位dB，高8位表示信噪比整数部分，低8位表示信噪比小数部分，（-128~127）</w:t>
            </w:r>
          </w:p>
        </w:tc>
        <w:tc>
          <w:tcPr>
            <w:tcW w:w="1120" w:type="dxa"/>
          </w:tcPr>
          <w:p w14:paraId="0ADAE733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 w14:paraId="6B1C8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647" w:type="dxa"/>
          </w:tcPr>
          <w:p w14:paraId="63691E8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128" w:type="dxa"/>
          </w:tcPr>
          <w:p w14:paraId="05FAFBE6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</w:t>
            </w:r>
          </w:p>
        </w:tc>
        <w:tc>
          <w:tcPr>
            <w:tcW w:w="1309" w:type="dxa"/>
          </w:tcPr>
          <w:p w14:paraId="51E48159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1159" w:type="dxa"/>
          </w:tcPr>
          <w:p w14:paraId="5F9C7C4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 w14:paraId="6C91FB41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解调数据的内容，字节长度由报文长度字段定义</w:t>
            </w:r>
          </w:p>
        </w:tc>
        <w:tc>
          <w:tcPr>
            <w:tcW w:w="1120" w:type="dxa"/>
          </w:tcPr>
          <w:p w14:paraId="663B8E4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保存消息至日志文件，按照AIS和VDES标准协议分析并利用解调数据</w:t>
            </w:r>
          </w:p>
        </w:tc>
      </w:tr>
    </w:tbl>
    <w:p w14:paraId="43BCD919">
      <w:pPr>
        <w:bidi w:val="0"/>
        <w:rPr>
          <w:rFonts w:hint="eastAsia"/>
          <w:lang w:val="en-US" w:eastAsia="zh-CN"/>
        </w:rPr>
      </w:pPr>
    </w:p>
    <w:p w14:paraId="1C34BF14">
      <w:pPr>
        <w:bidi w:val="0"/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表17、VDES消息通知报文内容定义</w:t>
      </w:r>
    </w:p>
    <w:tbl>
      <w:tblPr>
        <w:tblStyle w:val="5"/>
        <w:tblW w:w="9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36"/>
        <w:gridCol w:w="1132"/>
        <w:gridCol w:w="3300"/>
        <w:gridCol w:w="1234"/>
      </w:tblGrid>
      <w:tr w14:paraId="14947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7" w:type="dxa"/>
          </w:tcPr>
          <w:p w14:paraId="6A6DBDC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 w14:paraId="394B9A9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36" w:type="dxa"/>
          </w:tcPr>
          <w:p w14:paraId="446A35B4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32" w:type="dxa"/>
          </w:tcPr>
          <w:p w14:paraId="0A09B0CC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00" w:type="dxa"/>
          </w:tcPr>
          <w:p w14:paraId="63287CA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234" w:type="dxa"/>
          </w:tcPr>
          <w:p w14:paraId="73252AF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 w14:paraId="10B38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509DECF8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 w14:paraId="2E330AF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消息类型</w:t>
            </w:r>
          </w:p>
        </w:tc>
        <w:tc>
          <w:tcPr>
            <w:tcW w:w="1336" w:type="dxa"/>
          </w:tcPr>
          <w:p w14:paraId="08EF8C0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32" w:type="dxa"/>
          </w:tcPr>
          <w:p w14:paraId="764CB00F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00" w:type="dxa"/>
          </w:tcPr>
          <w:p w14:paraId="5DAA788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0：VDES协议开始执行（收到</w:t>
            </w:r>
            <w:r>
              <w:rPr>
                <w:rFonts w:hint="eastAsia"/>
                <w:lang w:val="en-US" w:eastAsia="zh-CN"/>
              </w:rPr>
              <w:t>VDES协议参数控制</w:t>
            </w:r>
            <w:r>
              <w:rPr>
                <w:rFonts w:hint="eastAsia"/>
                <w:vertAlign w:val="baseline"/>
                <w:lang w:val="en-US" w:eastAsia="zh-CN"/>
              </w:rPr>
              <w:t>报文-&gt;VDES协议工作使能：开启,且执行指令成功后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 w14:paraId="1BA9C58C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1：VDES协议停止执行（收到</w:t>
            </w:r>
            <w:r>
              <w:rPr>
                <w:rFonts w:hint="eastAsia"/>
                <w:lang w:val="en-US" w:eastAsia="zh-CN"/>
              </w:rPr>
              <w:t>VDES协议参数控制</w:t>
            </w:r>
            <w:r>
              <w:rPr>
                <w:rFonts w:hint="eastAsia"/>
                <w:vertAlign w:val="baseline"/>
                <w:lang w:val="en-US" w:eastAsia="zh-CN"/>
              </w:rPr>
              <w:t>报文-&gt;VDES协议工作使能：关闭,且执行指令成功后</w:t>
            </w:r>
            <w:r>
              <w:rPr>
                <w:rFonts w:hint="eastAsia"/>
                <w:lang w:val="en-US" w:eastAsia="zh-CN"/>
              </w:rPr>
              <w:t>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 w14:paraId="1CF023F5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2：VDES功能初始化（</w:t>
            </w:r>
            <w:r>
              <w:rPr>
                <w:rFonts w:hint="eastAsia"/>
                <w:lang w:val="en-US" w:eastAsia="zh-CN"/>
              </w:rPr>
              <w:t>VDES功能上电初始化成功后，返回该消息类型通知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 w14:paraId="0C51B28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3：VDES开始采集波形（地检调试）</w:t>
            </w:r>
          </w:p>
          <w:p w14:paraId="2218318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 w14:paraId="547BF79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4：VDES正在采集波形（地检调试）</w:t>
            </w:r>
          </w:p>
          <w:p w14:paraId="0F8ABE89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 w14:paraId="075B3E3E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5：VDES停止采集波形（地检调试）</w:t>
            </w:r>
          </w:p>
          <w:p w14:paraId="1D6C5F2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 w14:paraId="6ECE5661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6：VDES收到上行数据（</w:t>
            </w:r>
            <w:r>
              <w:rPr>
                <w:rFonts w:hint="eastAsia"/>
                <w:lang w:val="en-US" w:eastAsia="zh-CN"/>
              </w:rPr>
              <w:t>VDES长数据、短消息，应急短消息上注成功时，返回该消息类型通知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 w14:paraId="5401061B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7：VDES与卫星建立会话成功（VDES终端获得卫星分配的信道资源时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 w14:paraId="7CC3A870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8：VDES与卫星结束会话（VDES终端将长数据成功发送至卫星，自动结束会话时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 w14:paraId="3802484D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9：VDES发送上行测试波形（地检调试）</w:t>
            </w:r>
          </w:p>
          <w:p w14:paraId="617AB0C8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10：VDES上行测试完毕（地检调试）</w:t>
            </w:r>
          </w:p>
          <w:p w14:paraId="000C3A1C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11：VDES发送上行数据（地检调试）</w:t>
            </w:r>
          </w:p>
          <w:p w14:paraId="6DC5D105"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12：VDES解调数据（VDES终端成功解调卫星下发的长数据片段时，</w:t>
            </w:r>
            <w:r>
              <w:rPr>
                <w:rFonts w:hint="eastAsia"/>
                <w:lang w:val="en-US" w:eastAsia="zh-CN"/>
              </w:rPr>
              <w:t>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 w14:paraId="5B5E9DF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34" w:type="dxa"/>
          </w:tcPr>
          <w:p w14:paraId="1B05BE8F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可以通过提示框或日志形式通知用户</w:t>
            </w:r>
          </w:p>
        </w:tc>
      </w:tr>
    </w:tbl>
    <w:p w14:paraId="6E7670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nsolas">
    <w:panose1 w:val="020B0609020204030204"/>
    <w:charset w:val="86"/>
    <w:family w:val="auto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74DF9A"/>
    <w:multiLevelType w:val="singleLevel"/>
    <w:tmpl w:val="6C74DF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F0A47"/>
    <w:rsid w:val="6C0F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2025-06-30T09:41:00Z</dcterms:created>
  <dc:creator>zoe</dc:creator>
  <cp:lastModifiedBy>zoe</cp:lastModifiedBy>
  <dcterms:modified xsi:type="dcterms:W3CDTF">2025-06-30T09:42:13Z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736BA78CD3F242B68AC42EE14EBB88E1_11</vt:lpwstr>
  </property>
  <property fmtid="{D5CDD505-2E9C-101B-9397-08002B2CF9AE}" pid="4" name="KSOTemplateDocerSaveRecord">
    <vt:lpwstr>eyJoZGlkIjoiMTI0N2UyZDE1MDJjNDQxZmExZDcxMGIxZGU3NWIzNDEiLCJ1c2VySWQiOiIyNjQyNDk3NTYifQ==</vt:lpwstr>
  </property>
</Properties>
</file>