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外部32MHz时钟布线到HCLKBUF级冲测试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内部10KHz时钟布线到CLKINT缓冲测试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异常情况下的时钟处理测试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1231</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YL_SU_SSWDA_001</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dc:identifier/>
  <dc:language/>
</cp:coreProperties>
</file>