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C55AA1E" w14:textId="77777777" w:rsidR="00000000" w:rsidRDefault="00000000" w:rsidP="00C83EBC">
      <w:pPr>
        <w:pStyle w:val="aff2"/>
        <w:wordWrap w:val="0"/>
        <w:ind w:firstLine="420"/>
      </w:pPr>
      <w:r>
        <w:rPr>
          <w:rFonts w:hint="eastAsia"/>
        </w:rPr>
        <w:t>依据《军用软件测试指南》、《军用软件鉴定测评指南》、软件任务书和软件需求规格说明等文档，结合</w:t>
      </w:r>
      <w:r>
        <w:rPr>
          <w:rFonts w:hint="eastAsia"/>
        </w:rPr>
        <w:t>BK11X1</w:t>
      </w:r>
      <w:r>
        <w:rPr>
          <w:rFonts w:hint="eastAsia"/>
        </w:rPr>
        <w:t>标校软件</w:t>
      </w:r>
      <w:r>
        <w:rPr>
          <w:rFonts w:hint="eastAsia"/>
        </w:rPr>
        <w:t>特点和承研单位提供的测试环境，制定以下测评策略：</w:t>
      </w:r>
    </w:p>
    <w:p w14:paraId="593A5F0B" w14:textId="77777777" w:rsidR="00BF4ADA" w:rsidRDefault="00BF4ADA" w:rsidP="00BF4ADA">
      <w:pPr>
        <w:pStyle w:val="aff2"/>
        <w:wordWrap w:val="0"/>
        <w:ind w:firstLine="480"/>
        <w:rPr>
          <w:szCs w:val="24"/>
        </w:rPr>
      </w:pPr>
      <w:r>
        <w:rPr>
          <w:rFonts w:hint="eastAsia"/>
          <w:szCs w:val="24"/>
        </w:rPr>
        <w:t>1</w:t>
      </w:r>
      <w:r>
        <w:rPr>
          <w:rFonts w:hint="eastAsia"/>
          <w:szCs w:val="24"/>
        </w:rPr>
        <w:t>）</w:t>
      </w:r>
      <w:r w:rsidRPr="00A01D00">
        <w:rPr>
          <w:rFonts w:hint="eastAsia"/>
          <w:szCs w:val="24"/>
        </w:rPr>
        <w:t>文档审查内容为审查文档的齐套性、准确性、一致性和完整性，对于文档差距较大的软件，由测评机构提出申请，测评机构组织开展会议审查</w:t>
      </w:r>
      <w:r>
        <w:rPr>
          <w:rFonts w:hint="eastAsia"/>
          <w:szCs w:val="24"/>
        </w:rPr>
        <w:t>；</w:t>
      </w:r>
    </w:p>
    <w:p w14:paraId="2F5D12F2" w14:textId="77777777" w:rsidR="00BF4ADA" w:rsidRDefault="00BF4ADA" w:rsidP="00BF4ADA">
      <w:pPr>
        <w:pStyle w:val="aff2"/>
        <w:wordWrap w:val="0"/>
        <w:ind w:firstLine="480"/>
      </w:pPr>
      <w:r>
        <w:rPr>
          <w:rFonts w:hint="eastAsia"/>
        </w:rPr>
        <w:t>2</w:t>
      </w:r>
      <w:r>
        <w:rPr>
          <w:rFonts w:hint="eastAsia"/>
        </w:rPr>
        <w:t>）</w:t>
      </w:r>
      <w:r>
        <w:t>BK11X1</w:t>
      </w:r>
      <w:r>
        <w:rPr>
          <w:rFonts w:hint="eastAsia"/>
        </w:rPr>
        <w:t>标校软件为一般软件，对全部程序开展静态分析，选取重要处理程序进行代码审查；</w:t>
      </w:r>
    </w:p>
    <w:p w14:paraId="20ACA19C" w14:textId="77777777" w:rsidR="00BF4ADA" w:rsidRDefault="00BF4ADA" w:rsidP="00BF4ADA">
      <w:pPr>
        <w:pStyle w:val="aff2"/>
        <w:wordWrap w:val="0"/>
        <w:ind w:firstLine="480"/>
        <w:rPr>
          <w:szCs w:val="24"/>
        </w:rPr>
      </w:pPr>
      <w:r>
        <w:t>3</w:t>
      </w:r>
      <w:r>
        <w:rPr>
          <w:rFonts w:hint="eastAsia"/>
        </w:rPr>
        <w:t>）</w:t>
      </w:r>
      <w:r w:rsidRPr="00A01D00">
        <w:rPr>
          <w:rFonts w:hint="eastAsia"/>
          <w:szCs w:val="24"/>
        </w:rPr>
        <w:t>对</w:t>
      </w:r>
      <w:r>
        <w:rPr>
          <w:rFonts w:hint="eastAsia"/>
          <w:szCs w:val="24"/>
        </w:rPr>
        <w:t>于</w:t>
      </w:r>
      <w:r w:rsidRPr="00A01D00">
        <w:rPr>
          <w:rFonts w:hint="eastAsia"/>
          <w:szCs w:val="24"/>
        </w:rPr>
        <w:t>配置级测试</w:t>
      </w:r>
      <w:r>
        <w:rPr>
          <w:rFonts w:hint="eastAsia"/>
          <w:szCs w:val="24"/>
        </w:rPr>
        <w:t>，</w:t>
      </w:r>
      <w:r w:rsidRPr="00BD2A0E">
        <w:rPr>
          <w:rFonts w:hint="eastAsia"/>
          <w:szCs w:val="24"/>
        </w:rPr>
        <w:t>先开展文档审查、代码审查、静态分析等静态测试，待静态测试发现问题闭环后再开展动态测试</w:t>
      </w:r>
      <w:r>
        <w:rPr>
          <w:rFonts w:hint="eastAsia"/>
          <w:szCs w:val="24"/>
        </w:rPr>
        <w:t>；</w:t>
      </w:r>
    </w:p>
    <w:p w14:paraId="19C0B364" w14:textId="77777777" w:rsidR="00BF4ADA" w:rsidRDefault="00BF4ADA" w:rsidP="00BF4ADA">
      <w:pPr>
        <w:pStyle w:val="aff2"/>
        <w:wordWrap w:val="0"/>
        <w:ind w:firstLine="480"/>
        <w:rPr>
          <w:szCs w:val="24"/>
        </w:rPr>
      </w:pPr>
      <w:r>
        <w:rPr>
          <w:rFonts w:hint="eastAsia"/>
          <w:szCs w:val="24"/>
        </w:rPr>
        <w:t>4</w:t>
      </w:r>
      <w:r>
        <w:rPr>
          <w:rFonts w:hint="eastAsia"/>
          <w:szCs w:val="24"/>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AED561" w14:textId="77777777" w:rsidR="00BF4ADA" w:rsidRDefault="00BF4ADA" w:rsidP="00BF4ADA">
      <w:pPr>
        <w:pStyle w:val="aff2"/>
        <w:wordWrap w:val="0"/>
        <w:ind w:firstLine="480"/>
        <w:rPr>
          <w:szCs w:val="24"/>
        </w:rPr>
      </w:pPr>
      <w:r>
        <w:rPr>
          <w:rFonts w:hint="eastAsia"/>
          <w:szCs w:val="24"/>
        </w:rPr>
        <w:t>5</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1E3C99BF" w14:textId="77777777" w:rsidR="00BF4ADA" w:rsidRDefault="00BF4ADA" w:rsidP="00BF4ADA">
      <w:pPr>
        <w:pStyle w:val="aff2"/>
        <w:wordWrap w:val="0"/>
        <w:ind w:firstLine="480"/>
        <w:rPr>
          <w:szCs w:val="24"/>
        </w:rPr>
      </w:pPr>
      <w:r>
        <w:rPr>
          <w:rFonts w:hint="eastAsia"/>
        </w:rPr>
        <w:t>6</w:t>
      </w:r>
      <w:r>
        <w:rPr>
          <w:rFonts w:hint="eastAsia"/>
        </w:rPr>
        <w:t>）</w:t>
      </w:r>
      <w:r w:rsidRPr="007B19F5">
        <w:rPr>
          <w:rFonts w:hint="eastAsia"/>
          <w:szCs w:val="24"/>
        </w:rPr>
        <w:t>针对无法使用动态测试手段直接验证的需求，采用程序插桩或代码审查及其它等效方式进行测试</w:t>
      </w:r>
      <w:r>
        <w:rPr>
          <w:rFonts w:hint="eastAsia"/>
          <w:szCs w:val="24"/>
        </w:rPr>
        <w:t>；</w:t>
      </w:r>
    </w:p>
    <w:p w14:paraId="15E2EE02" w14:textId="77777777" w:rsidR="00BF4ADA" w:rsidRDefault="00BF4ADA" w:rsidP="00BF4ADA">
      <w:pPr>
        <w:pStyle w:val="aff2"/>
        <w:wordWrap w:val="0"/>
        <w:ind w:firstLine="480"/>
      </w:pPr>
      <w:r>
        <w:rPr>
          <w:rFonts w:hint="eastAsia"/>
          <w:szCs w:val="24"/>
        </w:rPr>
        <w:t>7</w:t>
      </w:r>
      <w:r>
        <w:rPr>
          <w:rFonts w:hint="eastAsia"/>
          <w:szCs w:val="24"/>
        </w:rPr>
        <w:t>）</w:t>
      </w:r>
      <w:r w:rsidRPr="00212493">
        <w:rPr>
          <w:szCs w:val="24"/>
        </w:rPr>
        <w:t>本次鉴定测评选取的</w:t>
      </w:r>
      <w:r>
        <w:rPr>
          <w:rFonts w:hint="eastAsia"/>
          <w:szCs w:val="24"/>
        </w:rPr>
        <w:t>余量测试、强度测试、恢复性测试</w:t>
      </w:r>
      <w:r w:rsidRPr="00212493">
        <w:rPr>
          <w:szCs w:val="24"/>
        </w:rPr>
        <w:t>类型不在军用校准和测试实验室认可技术能力范围内，本测评大纲严格依据</w:t>
      </w:r>
      <w:r w:rsidRPr="00212493">
        <w:rPr>
          <w:szCs w:val="24"/>
        </w:rPr>
        <w:t>TE-BTCG-003-2021</w:t>
      </w:r>
      <w:r w:rsidRPr="00212493">
        <w:rPr>
          <w:szCs w:val="24"/>
        </w:rPr>
        <w:t>《军用软件测试指南》中数据处理测试的标准方法要求开展测试需求分析与设计工作，对数据处理测试项内容进行详细描述，提交评审专家组共同评审确认，在专家确认后开展相关测试工作</w:t>
      </w:r>
      <w:r>
        <w:rPr>
          <w:rFonts w:hint="eastAsia"/>
          <w:szCs w:val="24"/>
        </w:rPr>
        <w:t>。</w:t>
      </w:r>
    </w:p>
    <w:p w14:paraId="7CB60A7C" w14:textId="77777777" w:rsidR="00000000" w:rsidRPr="00BF4ADA" w:rsidRDefault="00000000" w:rsidP="00C83EBC">
      <w:pPr>
        <w:wordWrap w:val="0"/>
      </w:pPr>
    </w:p>
    <w:p w14:paraId="6EBD2FFB" w14:textId="77777777" w:rsidR="00000000" w:rsidRDefault="00000000" w:rsidP="00C83EBC">
      <w:pPr>
        <w:pStyle w:val="4"/>
        <w:wordWrap w:val="0"/>
        <w:rPr>
          <w:sz w:val="24"/>
          <w:szCs w:val="24"/>
        </w:rPr>
      </w:pPr>
      <w:r>
        <w:rPr>
          <w:rFonts w:hint="eastAsia"/>
          <w:sz w:val="24"/>
          <w:szCs w:val="24"/>
        </w:rPr>
        <w:t>测试方法</w:t>
      </w:r>
    </w:p>
    <w:p w14:paraId="6AE6909D" w14:textId="77777777" w:rsidR="00000000" w:rsidRDefault="00000000"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65540BA3" w14:textId="77777777" w:rsidTr="00F33145">
        <w:trPr>
          <w:cantSplit/>
          <w:trHeight w:val="644"/>
          <w:tblHeader/>
          <w:jc w:val="center"/>
        </w:trPr>
        <w:tc>
          <w:tcPr>
            <w:tcW w:w="1502" w:type="dxa"/>
            <w:vAlign w:val="center"/>
          </w:tcPr>
          <w:p w14:paraId="2A46CE8C"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lastRenderedPageBreak/>
              <w:t>测试类型</w:t>
            </w:r>
          </w:p>
          <w:p w14:paraId="796E9FE8"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23F97953"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34B02A50" w14:textId="77777777" w:rsidR="00000000" w:rsidRPr="00771A35" w:rsidRDefault="00000000"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测试内容及方法描述</w:t>
            </w:r>
          </w:p>
        </w:tc>
      </w:tr>
      <w:tr w:rsidR="00982E86" w:rsidRPr="0076079A" w14:paraId="7A2C4551" w14:textId="77777777" w:rsidTr="00F33145">
        <w:trPr>
          <w:cantSplit/>
          <w:jc w:val="center"/>
        </w:trPr>
        <w:tc>
          <w:tcPr>
            <w:tcW w:w="1502" w:type="dxa"/>
            <w:vAlign w:val="center"/>
          </w:tcPr>
          <w:p w14:paraId="644F5E7B"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53E86E9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16E7BC3A"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532CABF9"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73CE646B"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4FEF4B77"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A2EF1F8" w14:textId="77777777" w:rsidR="00000000" w:rsidRPr="002A70E0" w:rsidRDefault="00000000"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6605737C" w14:textId="77777777" w:rsidR="00000000" w:rsidRPr="0076079A" w:rsidRDefault="00000000"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7367F008" w14:textId="77777777" w:rsidTr="00F33145">
        <w:trPr>
          <w:cantSplit/>
          <w:jc w:val="center"/>
        </w:trPr>
        <w:tc>
          <w:tcPr>
            <w:tcW w:w="1502" w:type="dxa"/>
            <w:vAlign w:val="center"/>
          </w:tcPr>
          <w:p w14:paraId="0F6C3C80"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4659A895"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78A52ACD" w14:textId="77777777" w:rsidR="00000000" w:rsidRPr="0076079A" w:rsidRDefault="00000000"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5691B494" w14:textId="77777777" w:rsidTr="00F33145">
        <w:trPr>
          <w:cantSplit/>
          <w:jc w:val="center"/>
        </w:trPr>
        <w:tc>
          <w:tcPr>
            <w:tcW w:w="1502" w:type="dxa"/>
            <w:vAlign w:val="center"/>
          </w:tcPr>
          <w:p w14:paraId="757062F5"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3913B2D"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25981606" w14:textId="77777777" w:rsidR="00000000" w:rsidRPr="0076079A" w:rsidRDefault="00000000"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36512CF2" w14:textId="77777777" w:rsidTr="00F33145">
        <w:trPr>
          <w:cantSplit/>
          <w:jc w:val="center"/>
        </w:trPr>
        <w:tc>
          <w:tcPr>
            <w:tcW w:w="1502" w:type="dxa"/>
            <w:vAlign w:val="center"/>
          </w:tcPr>
          <w:p w14:paraId="2EC967C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7F9F5193"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1E096027"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8BA736F"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Pr="0076079A">
              <w:rPr>
                <w:snapToGrid w:val="0"/>
                <w:spacing w:val="2"/>
                <w:szCs w:val="21"/>
              </w:rPr>
              <w:t>用正常值的等价类输入数据值测试；</w:t>
            </w:r>
          </w:p>
          <w:p w14:paraId="53EB5D2A"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761E70F"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51E9D2E9"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124D11C9"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31AFF708" w14:textId="77777777" w:rsidR="00000000"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46A4AB6C"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包含初始化功能</w:t>
            </w:r>
            <w:r>
              <w:rPr>
                <w:rFonts w:hint="eastAsia"/>
                <w:snapToGrid w:val="0"/>
                <w:spacing w:val="2"/>
                <w:szCs w:val="21"/>
              </w:rPr>
              <w:t>、</w:t>
            </w:r>
            <w:r>
              <w:rPr>
                <w:rFonts w:hint="eastAsia"/>
                <w:snapToGrid w:val="0"/>
                <w:spacing w:val="2"/>
                <w:szCs w:val="21"/>
              </w:rPr>
              <w:t>数据采集解析功能</w:t>
            </w:r>
            <w:r>
              <w:rPr>
                <w:rFonts w:hint="eastAsia"/>
                <w:snapToGrid w:val="0"/>
                <w:spacing w:val="2"/>
                <w:szCs w:val="21"/>
              </w:rPr>
              <w:t>、</w:t>
            </w:r>
            <w:r>
              <w:rPr>
                <w:rFonts w:hint="eastAsia"/>
                <w:snapToGrid w:val="0"/>
                <w:spacing w:val="2"/>
                <w:szCs w:val="21"/>
              </w:rPr>
              <w:t>数据处理功能</w:t>
            </w:r>
            <w:r>
              <w:rPr>
                <w:rFonts w:hint="eastAsia"/>
                <w:snapToGrid w:val="0"/>
                <w:spacing w:val="2"/>
                <w:szCs w:val="21"/>
              </w:rPr>
              <w:t>、</w:t>
            </w:r>
            <w:r>
              <w:rPr>
                <w:rFonts w:hint="eastAsia"/>
                <w:snapToGrid w:val="0"/>
                <w:spacing w:val="2"/>
                <w:szCs w:val="21"/>
              </w:rPr>
              <w:t>界面显示</w:t>
            </w:r>
            <w:r>
              <w:rPr>
                <w:rFonts w:hint="eastAsia"/>
                <w:snapToGrid w:val="0"/>
                <w:spacing w:val="2"/>
                <w:szCs w:val="21"/>
              </w:rPr>
              <w:t>、</w:t>
            </w:r>
            <w:r>
              <w:rPr>
                <w:rFonts w:hint="eastAsia"/>
                <w:snapToGrid w:val="0"/>
                <w:spacing w:val="2"/>
                <w:szCs w:val="21"/>
              </w:rPr>
              <w:t>数据保存</w:t>
            </w:r>
            <w:r>
              <w:rPr>
                <w:rFonts w:hint="eastAsia"/>
                <w:snapToGrid w:val="0"/>
                <w:spacing w:val="2"/>
                <w:szCs w:val="21"/>
              </w:rPr>
              <w:t>、</w:t>
            </w:r>
            <w:r>
              <w:rPr>
                <w:rFonts w:hint="eastAsia"/>
                <w:snapToGrid w:val="0"/>
                <w:spacing w:val="2"/>
                <w:szCs w:val="21"/>
              </w:rPr>
              <w:t>参数转换</w:t>
            </w:r>
            <w:r>
              <w:rPr>
                <w:rFonts w:hint="eastAsia"/>
                <w:snapToGrid w:val="0"/>
                <w:spacing w:val="2"/>
                <w:szCs w:val="21"/>
              </w:rPr>
              <w:t>、</w:t>
            </w:r>
            <w:r>
              <w:rPr>
                <w:rFonts w:hint="eastAsia"/>
                <w:snapToGrid w:val="0"/>
                <w:spacing w:val="2"/>
                <w:szCs w:val="21"/>
              </w:rPr>
              <w:t>时间同步</w:t>
            </w:r>
            <w:r>
              <w:rPr>
                <w:rFonts w:hint="eastAsia"/>
                <w:snapToGrid w:val="0"/>
                <w:spacing w:val="2"/>
                <w:szCs w:val="21"/>
              </w:rPr>
              <w:t>、</w:t>
            </w:r>
            <w:r>
              <w:rPr>
                <w:rFonts w:hint="eastAsia"/>
                <w:snapToGrid w:val="0"/>
                <w:spacing w:val="2"/>
                <w:szCs w:val="21"/>
              </w:rPr>
              <w:t>惯组标定</w:t>
            </w:r>
            <w:r>
              <w:rPr>
                <w:rFonts w:hint="eastAsia"/>
                <w:snapToGrid w:val="0"/>
                <w:spacing w:val="2"/>
                <w:szCs w:val="21"/>
              </w:rPr>
              <w:t>、</w:t>
            </w:r>
            <w:r>
              <w:rPr>
                <w:rFonts w:hint="eastAsia"/>
                <w:snapToGrid w:val="0"/>
                <w:spacing w:val="2"/>
                <w:szCs w:val="21"/>
              </w:rPr>
              <w:t>参数上传</w:t>
            </w:r>
            <w:r>
              <w:rPr>
                <w:rFonts w:hint="eastAsia"/>
                <w:snapToGrid w:val="0"/>
                <w:spacing w:val="2"/>
                <w:szCs w:val="21"/>
              </w:rPr>
              <w:t>、</w:t>
            </w:r>
            <w:r>
              <w:rPr>
                <w:rFonts w:hint="eastAsia"/>
                <w:snapToGrid w:val="0"/>
                <w:spacing w:val="2"/>
                <w:szCs w:val="21"/>
              </w:rPr>
              <w:t>软件交互</w:t>
            </w:r>
            <w:r>
              <w:rPr>
                <w:rFonts w:hint="eastAsia"/>
                <w:snapToGrid w:val="0"/>
                <w:spacing w:val="2"/>
                <w:szCs w:val="21"/>
              </w:rPr>
              <w:t>、</w:t>
            </w:r>
            <w:r>
              <w:rPr>
                <w:rFonts w:hint="eastAsia"/>
                <w:snapToGrid w:val="0"/>
                <w:spacing w:val="2"/>
                <w:szCs w:val="21"/>
              </w:rPr>
              <w:t>软件升级流程和异常</w:t>
            </w:r>
            <w:r>
              <w:rPr>
                <w:rFonts w:hint="eastAsia"/>
                <w:snapToGrid w:val="0"/>
                <w:spacing w:val="2"/>
                <w:szCs w:val="21"/>
              </w:rPr>
              <w:t>等测试项</w:t>
            </w:r>
          </w:p>
        </w:tc>
      </w:tr>
      <w:tr w:rsidR="00982E86" w:rsidRPr="003F2468" w14:paraId="7D713BF6" w14:textId="77777777" w:rsidTr="00F33145">
        <w:trPr>
          <w:cantSplit/>
          <w:jc w:val="center"/>
        </w:trPr>
        <w:tc>
          <w:tcPr>
            <w:tcW w:w="1502" w:type="dxa"/>
            <w:vAlign w:val="center"/>
          </w:tcPr>
          <w:p w14:paraId="63360A2B"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接口测试</w:t>
            </w:r>
          </w:p>
        </w:tc>
        <w:tc>
          <w:tcPr>
            <w:tcW w:w="960" w:type="dxa"/>
            <w:vAlign w:val="center"/>
          </w:tcPr>
          <w:p w14:paraId="2B30EDB0"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0F1B3928" w14:textId="77777777" w:rsidR="00000000" w:rsidRPr="003F2468" w:rsidRDefault="00000000"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226C5A32" w14:textId="77777777" w:rsidR="00000000" w:rsidRPr="003F2468" w:rsidRDefault="00000000"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31CCFF84" w14:textId="77777777" w:rsidR="00000000" w:rsidRDefault="00000000"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20732C25" w14:textId="77777777" w:rsidR="00000000" w:rsidRPr="003F2468"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包含与惯组串口接口、用户界面接口等测试项</w:t>
            </w:r>
          </w:p>
        </w:tc>
      </w:tr>
      <w:tr w:rsidR="00982E86" w:rsidRPr="0076079A" w14:paraId="410C32A5" w14:textId="77777777" w:rsidTr="00F33145">
        <w:trPr>
          <w:cantSplit/>
          <w:jc w:val="center"/>
        </w:trPr>
        <w:tc>
          <w:tcPr>
            <w:tcW w:w="1502" w:type="dxa"/>
            <w:vAlign w:val="center"/>
          </w:tcPr>
          <w:p w14:paraId="7C16593B"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性能测试</w:t>
            </w:r>
          </w:p>
        </w:tc>
        <w:tc>
          <w:tcPr>
            <w:tcW w:w="960" w:type="dxa"/>
            <w:vAlign w:val="center"/>
          </w:tcPr>
          <w:p w14:paraId="006A18DC"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AC</w:t>
            </w:r>
          </w:p>
        </w:tc>
        <w:tc>
          <w:tcPr>
            <w:tcW w:w="6247" w:type="dxa"/>
          </w:tcPr>
          <w:p w14:paraId="01485D1C"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检查被测软件是否满足需求规格说明中规定的性能指标。性能测试需要进行多次读取测量值，每次测量值均满足测试要求，则测试通过</w:t>
            </w:r>
          </w:p>
          <w:p w14:paraId="50289C97"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包含标定性能测试等测试项</w:t>
            </w:r>
          </w:p>
        </w:tc>
      </w:tr>
      <w:tr w:rsidR="00982E86" w:rsidRPr="0076079A" w14:paraId="4732777B" w14:textId="77777777" w:rsidTr="00F33145">
        <w:trPr>
          <w:cantSplit/>
          <w:jc w:val="center"/>
        </w:trPr>
        <w:tc>
          <w:tcPr>
            <w:tcW w:w="1502" w:type="dxa"/>
            <w:vAlign w:val="center"/>
          </w:tcPr>
          <w:p w14:paraId="0BFFB0BF"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强度测试</w:t>
            </w:r>
          </w:p>
        </w:tc>
        <w:tc>
          <w:tcPr>
            <w:tcW w:w="960" w:type="dxa"/>
            <w:vAlign w:val="center"/>
          </w:tcPr>
          <w:p w14:paraId="6B2C49D4"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ST</w:t>
            </w:r>
          </w:p>
        </w:tc>
        <w:tc>
          <w:tcPr>
            <w:tcW w:w="6247" w:type="dxa"/>
          </w:tcPr>
          <w:p w14:paraId="1D193DEF" w14:textId="77777777" w:rsidR="00000000" w:rsidRPr="005D263F" w:rsidRDefault="00000000" w:rsidP="00C83EBC">
            <w:pPr>
              <w:wordWrap w:val="0"/>
              <w:adjustRightInd w:val="0"/>
              <w:snapToGrid w:val="0"/>
              <w:jc w:val="left"/>
              <w:rPr>
                <w:snapToGrid w:val="0"/>
                <w:spacing w:val="2"/>
                <w:szCs w:val="21"/>
              </w:rPr>
            </w:pPr>
            <w:r w:rsidRPr="0076079A">
              <w:rPr>
                <w:snapToGrid w:val="0"/>
                <w:spacing w:val="2"/>
                <w:szCs w:val="21"/>
              </w:rPr>
              <w:t>强制软件运行在不正常到发生故障的情况下（设计的极限状态到</w:t>
            </w:r>
            <w:r w:rsidRPr="005D263F">
              <w:rPr>
                <w:snapToGrid w:val="0"/>
                <w:spacing w:val="2"/>
                <w:szCs w:val="21"/>
              </w:rPr>
              <w:t>超出极限），检验软件可以运行到何种程度的测试；</w:t>
            </w:r>
          </w:p>
          <w:p w14:paraId="6C69AD4C" w14:textId="77777777" w:rsidR="00000000" w:rsidRDefault="00000000" w:rsidP="00C83EBC">
            <w:pPr>
              <w:wordWrap w:val="0"/>
              <w:adjustRightInd w:val="0"/>
              <w:snapToGrid w:val="0"/>
              <w:jc w:val="left"/>
              <w:rPr>
                <w:snapToGrid w:val="0"/>
                <w:spacing w:val="2"/>
                <w:szCs w:val="21"/>
              </w:rPr>
            </w:pPr>
            <w:r w:rsidRPr="005D263F">
              <w:rPr>
                <w:snapToGrid w:val="0"/>
                <w:spacing w:val="2"/>
                <w:szCs w:val="21"/>
              </w:rPr>
              <w:t>强度测试通过长时间运行系统、加大通信力度等方式进行验证系统的抗压能力。</w:t>
            </w:r>
          </w:p>
          <w:p w14:paraId="2D2A34A5"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包含长时间强度测试等测试项</w:t>
            </w:r>
          </w:p>
        </w:tc>
      </w:tr>
      <w:tr w:rsidR="00982E86" w:rsidRPr="0076079A" w14:paraId="55A9176D" w14:textId="77777777" w:rsidTr="00F33145">
        <w:trPr>
          <w:cantSplit/>
          <w:jc w:val="center"/>
        </w:trPr>
        <w:tc>
          <w:tcPr>
            <w:tcW w:w="1502" w:type="dxa"/>
            <w:vAlign w:val="center"/>
          </w:tcPr>
          <w:p w14:paraId="761E85D8"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安全性测试</w:t>
            </w:r>
          </w:p>
        </w:tc>
        <w:tc>
          <w:tcPr>
            <w:tcW w:w="960" w:type="dxa"/>
            <w:vAlign w:val="center"/>
          </w:tcPr>
          <w:p w14:paraId="0C01995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SE</w:t>
            </w:r>
          </w:p>
        </w:tc>
        <w:tc>
          <w:tcPr>
            <w:tcW w:w="6247" w:type="dxa"/>
          </w:tcPr>
          <w:p w14:paraId="346491C5"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进行对异常条件下软件的处理和保护能力的测试（以表明不会因为可能的单个或多个输入错误而导致的不安全状态）</w:t>
            </w:r>
          </w:p>
          <w:p w14:paraId="11391360"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包含标校软件安全性等测试项</w:t>
            </w:r>
          </w:p>
        </w:tc>
      </w:tr>
      <w:tr w:rsidR="00982E86" w:rsidRPr="0076079A" w14:paraId="581F1F95" w14:textId="77777777" w:rsidTr="00F33145">
        <w:trPr>
          <w:cantSplit/>
          <w:jc w:val="center"/>
        </w:trPr>
        <w:tc>
          <w:tcPr>
            <w:tcW w:w="1502" w:type="dxa"/>
            <w:vAlign w:val="center"/>
          </w:tcPr>
          <w:p w14:paraId="52F48A5C"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人机交互界面测试</w:t>
            </w:r>
          </w:p>
        </w:tc>
        <w:tc>
          <w:tcPr>
            <w:tcW w:w="960" w:type="dxa"/>
            <w:vAlign w:val="center"/>
          </w:tcPr>
          <w:p w14:paraId="0A6CDC7E"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GUI</w:t>
            </w:r>
          </w:p>
        </w:tc>
        <w:tc>
          <w:tcPr>
            <w:tcW w:w="6247" w:type="dxa"/>
          </w:tcPr>
          <w:p w14:paraId="0D5384ED" w14:textId="77777777" w:rsidR="00000000" w:rsidRPr="0076079A"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依据软件人机界面规范，验证软件人机交互界面的完整性，一致性，准确性，友好性，合理性，指导性；</w:t>
            </w:r>
          </w:p>
        </w:tc>
      </w:tr>
      <w:tr w:rsidR="00982E86" w:rsidRPr="0076079A" w14:paraId="07376F11" w14:textId="77777777" w:rsidTr="00F33145">
        <w:trPr>
          <w:cantSplit/>
          <w:jc w:val="center"/>
        </w:trPr>
        <w:tc>
          <w:tcPr>
            <w:tcW w:w="1502" w:type="dxa"/>
            <w:vAlign w:val="center"/>
          </w:tcPr>
          <w:p w14:paraId="3D0B8CC4"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lastRenderedPageBreak/>
              <w:t>余量测试</w:t>
            </w:r>
          </w:p>
        </w:tc>
        <w:tc>
          <w:tcPr>
            <w:tcW w:w="960" w:type="dxa"/>
            <w:vAlign w:val="center"/>
          </w:tcPr>
          <w:p w14:paraId="7F241BC8"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AT</w:t>
            </w:r>
          </w:p>
        </w:tc>
        <w:tc>
          <w:tcPr>
            <w:tcW w:w="6247" w:type="dxa"/>
          </w:tcPr>
          <w:p w14:paraId="274ACD08"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余量测试主要是验证程序存储空间、程序运行空间、数据存储空间以及软件控制周期的余量是否达到需求规格说明中的要求，若无明确要求时，一般要求留有不少于</w:t>
            </w:r>
            <w:r w:rsidRPr="0076079A">
              <w:rPr>
                <w:snapToGrid w:val="0"/>
                <w:spacing w:val="2"/>
                <w:szCs w:val="21"/>
              </w:rPr>
              <w:t>20%</w:t>
            </w:r>
            <w:r w:rsidRPr="0076079A">
              <w:rPr>
                <w:snapToGrid w:val="0"/>
                <w:spacing w:val="2"/>
                <w:szCs w:val="21"/>
              </w:rPr>
              <w:t>的余量。</w:t>
            </w:r>
          </w:p>
          <w:p w14:paraId="7BA86BAB"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包含资源余量测试等测试项</w:t>
            </w:r>
          </w:p>
        </w:tc>
      </w:tr>
      <w:tr w:rsidR="00982E86" w:rsidRPr="0076079A" w14:paraId="75C794AA" w14:textId="77777777" w:rsidTr="00F33145">
        <w:trPr>
          <w:cantSplit/>
          <w:jc w:val="center"/>
        </w:trPr>
        <w:tc>
          <w:tcPr>
            <w:tcW w:w="1502" w:type="dxa"/>
            <w:vAlign w:val="center"/>
          </w:tcPr>
          <w:p w14:paraId="74ACA109"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边界测试</w:t>
            </w:r>
          </w:p>
        </w:tc>
        <w:tc>
          <w:tcPr>
            <w:tcW w:w="960" w:type="dxa"/>
            <w:vAlign w:val="center"/>
          </w:tcPr>
          <w:p w14:paraId="1DAAC983"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BT</w:t>
            </w:r>
          </w:p>
        </w:tc>
        <w:tc>
          <w:tcPr>
            <w:tcW w:w="6247" w:type="dxa"/>
          </w:tcPr>
          <w:p w14:paraId="3C016827" w14:textId="77777777" w:rsidR="00000000" w:rsidRDefault="00000000" w:rsidP="00C83EBC">
            <w:pPr>
              <w:wordWrap w:val="0"/>
              <w:autoSpaceDE w:val="0"/>
              <w:autoSpaceDN w:val="0"/>
              <w:adjustRightInd w:val="0"/>
              <w:snapToGrid w:val="0"/>
              <w:jc w:val="left"/>
              <w:rPr>
                <w:snapToGrid w:val="0"/>
                <w:spacing w:val="2"/>
                <w:szCs w:val="21"/>
              </w:rPr>
            </w:pPr>
            <w:r w:rsidRPr="0076079A">
              <w:rPr>
                <w:snapToGrid w:val="0"/>
                <w:spacing w:val="2"/>
                <w:szCs w:val="21"/>
              </w:rPr>
              <w:t>针对各属性值的边界值，采用边界值左侧临界点、右侧临界点、边界值以及正常值等采样点数值进行验证。测试包括对正常范围内的边界进行测试，还包括对异常边界进行测试。</w:t>
            </w:r>
          </w:p>
          <w:p w14:paraId="1D057789" w14:textId="77777777" w:rsidR="00000000" w:rsidRPr="0076079A" w:rsidRDefault="00000000" w:rsidP="00C83EBC">
            <w:pPr>
              <w:wordWrap w:val="0"/>
              <w:autoSpaceDE w:val="0"/>
              <w:autoSpaceDN w:val="0"/>
              <w:adjustRightInd w:val="0"/>
              <w:snapToGrid w:val="0"/>
              <w:jc w:val="left"/>
              <w:rPr>
                <w:snapToGrid w:val="0"/>
                <w:spacing w:val="2"/>
                <w:szCs w:val="21"/>
              </w:rPr>
            </w:pPr>
            <w:r>
              <w:rPr>
                <w:rFonts w:hint="eastAsia"/>
                <w:snapToGrid w:val="0"/>
                <w:spacing w:val="2"/>
                <w:szCs w:val="21"/>
              </w:rPr>
              <w:t>包含温度和湿度配置边界、时间同步边界、惯组数据边界测试等测试项</w:t>
            </w:r>
          </w:p>
        </w:tc>
      </w:tr>
      <w:tr w:rsidR="00982E86" w:rsidRPr="0076079A" w14:paraId="11DACD59" w14:textId="77777777" w:rsidTr="00F33145">
        <w:trPr>
          <w:cantSplit/>
          <w:jc w:val="center"/>
        </w:trPr>
        <w:tc>
          <w:tcPr>
            <w:tcW w:w="1502" w:type="dxa"/>
            <w:vAlign w:val="center"/>
          </w:tcPr>
          <w:p w14:paraId="049F2C0E"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恢复性测试</w:t>
            </w:r>
          </w:p>
        </w:tc>
        <w:tc>
          <w:tcPr>
            <w:tcW w:w="960" w:type="dxa"/>
            <w:vAlign w:val="center"/>
          </w:tcPr>
          <w:p w14:paraId="6969D6F2" w14:textId="77777777" w:rsidR="00000000" w:rsidRPr="0076079A" w:rsidRDefault="00000000" w:rsidP="00C83EBC">
            <w:pPr>
              <w:wordWrap w:val="0"/>
              <w:adjustRightInd w:val="0"/>
              <w:snapToGrid w:val="0"/>
              <w:jc w:val="center"/>
              <w:rPr>
                <w:snapToGrid w:val="0"/>
                <w:spacing w:val="2"/>
                <w:szCs w:val="21"/>
              </w:rPr>
            </w:pPr>
            <w:r w:rsidRPr="0076079A">
              <w:rPr>
                <w:snapToGrid w:val="0"/>
                <w:spacing w:val="2"/>
                <w:szCs w:val="21"/>
              </w:rPr>
              <w:t>RE</w:t>
            </w:r>
          </w:p>
        </w:tc>
        <w:tc>
          <w:tcPr>
            <w:tcW w:w="6247" w:type="dxa"/>
          </w:tcPr>
          <w:p w14:paraId="1C67F528" w14:textId="77777777" w:rsidR="00000000" w:rsidRDefault="00000000" w:rsidP="00C83EBC">
            <w:pPr>
              <w:wordWrap w:val="0"/>
              <w:adjustRightInd w:val="0"/>
              <w:snapToGrid w:val="0"/>
              <w:jc w:val="left"/>
              <w:rPr>
                <w:snapToGrid w:val="0"/>
                <w:spacing w:val="2"/>
                <w:szCs w:val="21"/>
              </w:rPr>
            </w:pPr>
            <w:r w:rsidRPr="0076079A">
              <w:rPr>
                <w:snapToGrid w:val="0"/>
                <w:spacing w:val="2"/>
                <w:szCs w:val="21"/>
              </w:rPr>
              <w:t>对软件在故障</w:t>
            </w:r>
            <w:r>
              <w:rPr>
                <w:rFonts w:hint="eastAsia"/>
                <w:snapToGrid w:val="0"/>
                <w:spacing w:val="2"/>
                <w:szCs w:val="21"/>
              </w:rPr>
              <w:t>、</w:t>
            </w:r>
            <w:r w:rsidRPr="0076079A">
              <w:rPr>
                <w:snapToGrid w:val="0"/>
                <w:spacing w:val="2"/>
                <w:szCs w:val="21"/>
              </w:rPr>
              <w:t>复位</w:t>
            </w:r>
            <w:r>
              <w:rPr>
                <w:rFonts w:hint="eastAsia"/>
                <w:snapToGrid w:val="0"/>
                <w:spacing w:val="2"/>
                <w:szCs w:val="21"/>
              </w:rPr>
              <w:t>和重启</w:t>
            </w:r>
            <w:r w:rsidRPr="0076079A">
              <w:rPr>
                <w:snapToGrid w:val="0"/>
                <w:spacing w:val="2"/>
                <w:szCs w:val="21"/>
              </w:rPr>
              <w:t>后是否能够恢复到正确的状态进行测试。</w:t>
            </w:r>
          </w:p>
          <w:p w14:paraId="5B34C0F1" w14:textId="77777777" w:rsidR="00000000" w:rsidRPr="0076079A" w:rsidRDefault="00000000" w:rsidP="00C83EBC">
            <w:pPr>
              <w:wordWrap w:val="0"/>
              <w:adjustRightInd w:val="0"/>
              <w:snapToGrid w:val="0"/>
              <w:jc w:val="left"/>
              <w:rPr>
                <w:snapToGrid w:val="0"/>
                <w:spacing w:val="2"/>
                <w:szCs w:val="21"/>
              </w:rPr>
            </w:pPr>
            <w:r>
              <w:rPr>
                <w:rFonts w:hint="eastAsia"/>
                <w:snapToGrid w:val="0"/>
                <w:spacing w:val="2"/>
                <w:szCs w:val="21"/>
              </w:rPr>
              <w:t>包含通信中断恢复性等测试项</w:t>
            </w: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