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150CB038" w14:textId="77777777" w:rsidR="00000000" w:rsidRDefault="00000000" w:rsidP="00EE6A83">
      <w:pPr>
        <w:spacing w:line="360" w:lineRule="auto"/>
        <w:ind w:firstLineChars="200" w:firstLine="480"/>
        <w:rPr>
          <w:sz w:val="24"/>
          <w:szCs w:val="24"/>
        </w:rPr>
      </w:pPr>
      <w:r>
        <w:rPr>
          <w:rFonts w:hint="eastAsia"/>
          <w:sz w:val="24"/>
          <w:szCs w:val="24"/>
        </w:rPr>
        <w:t>本次测试的静态环境包括：静态测试工具、测试计算机、被测软件源代码和被测软件文档。</w:t>
      </w:r>
      <w:bookmarkEnd w:id="25"/>
      <w:r>
        <w:rPr>
          <w:rFonts w:hint="eastAsia"/>
          <w:sz w:val="24"/>
          <w:szCs w:val="24"/>
        </w:rPr>
        <w:t>测试工作安装在测试计算机上，被测软件源代码拷贝到计算机进行静态分析。</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