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1257"/>
            <w:gridCol w:w="1757"/>
            <w:gridCol w:w="2564"/>
            <w:gridCol w:w="1787"/>
            <w:gridCol w:w="1675"/>
          </w:tblGrid>
          <w:tr w:rsidR="00AF4673" w:rsidRPr="00A87B7E" w14:paraId="28C67B9B" w14:textId="77777777" w:rsidTr="00C77823">
            <w:tc>
              <w:tcPr>
                <w:tcW w:w="79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916"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285"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1</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代码更改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这是纯文本富文本框</w:t>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影响XXX1功能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YL_SU_CSH_001</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YL_SU_CSH_002</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YL_SU_CSH_003</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2</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游戏策略更改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这是含表格以及图片的富文本框</w:t>
                </w:r>
              </w:p>
              <w:p w14:paraId="24F9751E" w14:textId="5D499535" w:rsidR="00332464" w:rsidRDefault="00857C45" w:rsidP="00857C45">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影响XXX2功能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YL_SA_JTFX_001</w:t>
                </w:r>
              </w:p>
            </w:tc>
          </w:tr>
        </w:tbl>
        <w:p w14:paraId="73D0EC9E" w14:textId="52A3375A" w:rsidR="002877EE" w:rsidRPr="0003155F" w:rsidRDefault="00AF4673" w:rsidP="0003155F">
          <w:pPr>
            <w:spacing w:line="360" w:lineRule="auto"/>
            <w:rPr>
              <w:rFonts w:hint="eastAsia"/>
              <w:szCs w:val="21"/>
            </w:rPr>
          </w:pPr>
          <w:r w:rsidRPr="002E559B">
            <w:rPr>
              <w:szCs w:val="21"/>
            </w:rPr>
            <w:t>注：相关功能对软件的性能和余量也有影响，因此对该部分内容也重新进行测试。</w:t>
          </w:r>
        </w:p>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