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095A" w14:textId="77777777" w:rsidR="00CA7CDF" w:rsidRPr="005515F2" w:rsidRDefault="00CA7CDF" w:rsidP="00CA7CDF">
      <w:pPr>
        <w:pStyle w:val="30"/>
        <w:rPr>
          <w:sz w:val="24"/>
          <w:szCs w:val="24"/>
        </w:rPr>
      </w:pPr>
      <w:r w:rsidRPr="005515F2">
        <w:rPr>
          <w:sz w:val="24"/>
          <w:szCs w:val="24"/>
        </w:rPr>
        <w:t xml:space="preserve">文档审查</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静态分析</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静态分析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静态分析</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XQ_SA_JTFX</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对被测软件全部源程序进行静态分析，对控制流、数据流进行分析，验证软件是否满足控制流和数据流要求，并依据质量特性需求统计质量度量信息</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450B020B"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525A3257" w14:textId="77777777" w:rsidR="00F0216C" w:rsidRPr="000864C8" w:rsidRDefault="00F0216C" w:rsidP="00F0216C">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694A2558" w14:textId="77777777" w:rsidR="00F0216C" w:rsidRPr="000864C8" w:rsidRDefault="00F0216C" w:rsidP="00F0216C">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代码审查</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代码审查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代码审查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XQ_CR_DMSC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中</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58B23881" w14:textId="77777777" w:rsidR="00F0216C" w:rsidRPr="008C653D" w:rsidRDefault="00F0216C" w:rsidP="00F0216C">
            <w:pPr>
              <w:adjustRightInd w:val="0"/>
              <w:spacing w:line="360" w:lineRule="auto"/>
              <w:jc w:val="left"/>
            </w:pPr>
            <w:r w:rsidRPr="008C653D">
              <w:t>完成要求的源代码审查，软件没有违反代码审查单的要求；</w:t>
            </w:r>
          </w:p>
          <w:p w14:paraId="482E7F82" w14:textId="77777777" w:rsidR="00F0216C" w:rsidRPr="00A0100A" w:rsidRDefault="00F0216C" w:rsidP="00F0216C">
            <w:pPr>
              <w:adjustRightInd w:val="0"/>
              <w:jc w:val="left"/>
            </w:pPr>
            <w:r w:rsidRPr="008C653D">
              <w:lastRenderedPageBreak/>
              <w:t xml:space="preserve">代码与设计需求一致，满足编码规则强制项的要求。</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ectPr w:rsidR="002877EE" w:rsidRPr="00CE707D" w:rsidSect="00A8361E">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B4ED" w14:textId="77777777" w:rsidR="0011199C" w:rsidRDefault="0011199C">
      <w:r>
        <w:separator/>
      </w:r>
    </w:p>
  </w:endnote>
  <w:endnote w:type="continuationSeparator" w:id="0">
    <w:p w14:paraId="6271C2AE" w14:textId="77777777" w:rsidR="0011199C" w:rsidRDefault="0011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DF6A" w14:textId="77777777" w:rsidR="0011199C" w:rsidRDefault="0011199C">
      <w:r>
        <w:separator/>
      </w:r>
    </w:p>
  </w:footnote>
  <w:footnote w:type="continuationSeparator" w:id="0">
    <w:p w14:paraId="1E8850E6" w14:textId="77777777" w:rsidR="0011199C" w:rsidRDefault="0011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2A2"/>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7EE"/>
    <w:rsid w:val="000D2902"/>
    <w:rsid w:val="000D64C0"/>
    <w:rsid w:val="000E0B9C"/>
    <w:rsid w:val="000E1C16"/>
    <w:rsid w:val="000E41FB"/>
    <w:rsid w:val="00100160"/>
    <w:rsid w:val="00103E68"/>
    <w:rsid w:val="00104411"/>
    <w:rsid w:val="00110648"/>
    <w:rsid w:val="0011199C"/>
    <w:rsid w:val="001174C1"/>
    <w:rsid w:val="0012271C"/>
    <w:rsid w:val="001235B0"/>
    <w:rsid w:val="0012404A"/>
    <w:rsid w:val="001248B2"/>
    <w:rsid w:val="0012593F"/>
    <w:rsid w:val="00125CDB"/>
    <w:rsid w:val="0013120D"/>
    <w:rsid w:val="00132CD3"/>
    <w:rsid w:val="00152578"/>
    <w:rsid w:val="00154C5E"/>
    <w:rsid w:val="00161A99"/>
    <w:rsid w:val="001635F9"/>
    <w:rsid w:val="00171A96"/>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33F47"/>
    <w:rsid w:val="00236D3C"/>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1D53"/>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257D0"/>
    <w:rsid w:val="00630050"/>
    <w:rsid w:val="006319E7"/>
    <w:rsid w:val="0063285B"/>
    <w:rsid w:val="006342E8"/>
    <w:rsid w:val="00635020"/>
    <w:rsid w:val="00637413"/>
    <w:rsid w:val="00637AAB"/>
    <w:rsid w:val="00641350"/>
    <w:rsid w:val="00646C8D"/>
    <w:rsid w:val="00647BB7"/>
    <w:rsid w:val="00652E52"/>
    <w:rsid w:val="00654CB7"/>
    <w:rsid w:val="006603FC"/>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B4145"/>
    <w:rsid w:val="007C5595"/>
    <w:rsid w:val="007D073C"/>
    <w:rsid w:val="007E234F"/>
    <w:rsid w:val="007E2D06"/>
    <w:rsid w:val="007E4359"/>
    <w:rsid w:val="007F0C66"/>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70B0"/>
    <w:rsid w:val="008E0DB2"/>
    <w:rsid w:val="008E10A2"/>
    <w:rsid w:val="008E22C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5527"/>
    <w:rsid w:val="00945115"/>
    <w:rsid w:val="009461B5"/>
    <w:rsid w:val="00947FE8"/>
    <w:rsid w:val="00953906"/>
    <w:rsid w:val="00954F3B"/>
    <w:rsid w:val="00955FA4"/>
    <w:rsid w:val="00956F78"/>
    <w:rsid w:val="00964EC5"/>
    <w:rsid w:val="00966955"/>
    <w:rsid w:val="009719D3"/>
    <w:rsid w:val="0097417F"/>
    <w:rsid w:val="00974702"/>
    <w:rsid w:val="00974D62"/>
    <w:rsid w:val="00987EB4"/>
    <w:rsid w:val="00993861"/>
    <w:rsid w:val="0099545E"/>
    <w:rsid w:val="009A021B"/>
    <w:rsid w:val="009B144B"/>
    <w:rsid w:val="009B14AF"/>
    <w:rsid w:val="009C29B0"/>
    <w:rsid w:val="009D202E"/>
    <w:rsid w:val="009E2938"/>
    <w:rsid w:val="009E3E1D"/>
    <w:rsid w:val="009E59DD"/>
    <w:rsid w:val="009E61C7"/>
    <w:rsid w:val="009F0C54"/>
    <w:rsid w:val="009F31EA"/>
    <w:rsid w:val="009F52CA"/>
    <w:rsid w:val="009F5F0C"/>
    <w:rsid w:val="00A06071"/>
    <w:rsid w:val="00A115DD"/>
    <w:rsid w:val="00A13EB6"/>
    <w:rsid w:val="00A23A3C"/>
    <w:rsid w:val="00A301FE"/>
    <w:rsid w:val="00A3335A"/>
    <w:rsid w:val="00A37837"/>
    <w:rsid w:val="00A47BAE"/>
    <w:rsid w:val="00A552FA"/>
    <w:rsid w:val="00A56C90"/>
    <w:rsid w:val="00A66CC6"/>
    <w:rsid w:val="00A74C38"/>
    <w:rsid w:val="00A772E7"/>
    <w:rsid w:val="00A80978"/>
    <w:rsid w:val="00A8361E"/>
    <w:rsid w:val="00A86EBB"/>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677E"/>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3893"/>
    <w:rsid w:val="00D44146"/>
    <w:rsid w:val="00D462E4"/>
    <w:rsid w:val="00D5360F"/>
    <w:rsid w:val="00D61B39"/>
    <w:rsid w:val="00D70B0F"/>
    <w:rsid w:val="00D71C28"/>
    <w:rsid w:val="00D736D1"/>
    <w:rsid w:val="00D73EB0"/>
    <w:rsid w:val="00D741B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149B"/>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0216C"/>
    <w:rsid w:val="00F03553"/>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18660</TotalTime>
  <Pages>2</Pages>
  <Words>233</Words>
  <Characters>1331</Characters>
  <Application>Microsoft Office Word</Application>
  <DocSecurity>0</DocSecurity>
  <Lines>11</Lines>
  <Paragraphs>3</Paragraphs>
  <ScaleCrop>false</ScaleCrop>
  <Company>上海微小卫星工程中心</Company>
  <LinksUpToDate>false</LinksUpToDate>
  <CharactersWithSpaces>1561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834</cp:revision>
  <cp:lastPrinted>2021-12-17T09:12:00Z</cp:lastPrinted>
  <dcterms:created xsi:type="dcterms:W3CDTF">2022-01-24T07:15:00Z</dcterms:created>
  <dcterms:modified xsi:type="dcterms:W3CDTF">2025-04-25T01:32:00Z</dcterms:modified>
  <dc:identifier/>
  <dc:language/>
</cp:coreProperties>
</file>